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spacing w:before="120" w:beforeAutospacing="0" w:after="120" w:afterAutospacing="0" w:line="360" w:lineRule="auto"/>
        <w:rPr>
          <w:highlight w:val="none"/>
        </w:rPr>
      </w:pPr>
      <w:r>
        <w:rPr>
          <w:highlight w:val="none"/>
        </w:rPr>
        <w:t xml:space="preserve"> </w:t>
      </w:r>
      <w:r/>
    </w:p>
    <w:p>
      <w:pPr>
        <w:pStyle w:val="867"/>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6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67"/>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67"/>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67"/>
        <w:ind w:left="2244" w:hanging="1606"/>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宋体" w:hAnsi="宋体" w:eastAsia="宋体" w:cs="宋体"/>
          <w:b/>
          <w:color w:val="auto"/>
          <w:sz w:val="32"/>
          <w:szCs w:val="32"/>
          <w:highlight w:val="none"/>
          <w:lang w:eastAsia="zh-CN"/>
        </w:rPr>
        <w:t xml:space="preserve">盐城市智慧住建综合管理平台（城市体检与更新子系统）项目</w:t>
      </w:r>
      <w:r/>
    </w:p>
    <w:p>
      <w:pPr>
        <w:pStyle w:val="867"/>
        <w:ind w:firstLine="643"/>
        <w:jc w:val="both"/>
        <w:spacing w:beforeAutospacing="0" w:afterAutospacing="0"/>
        <w:rPr>
          <w:rFonts w:ascii="Times New Roman" w:hAnsi="Times New Roman"/>
          <w:b/>
          <w:color w:val="000000"/>
          <w:sz w:val="32"/>
          <w:szCs w:val="32"/>
          <w:highlight w:val="none"/>
        </w:rPr>
      </w:pPr>
      <w:r>
        <w:rPr>
          <w:rFonts w:ascii="Times New Roman" w:hAnsi="Times New Roman"/>
          <w:b/>
          <w:color w:val="000000"/>
          <w:sz w:val="32"/>
          <w:szCs w:val="32"/>
          <w:highlight w:val="none"/>
        </w:rPr>
        <w:t xml:space="preserve">项目编号：JSZC-320900-JZCG-G2025-0072</w:t>
      </w:r>
      <w:r/>
    </w:p>
    <w:p>
      <w:pPr>
        <w:pStyle w:val="867"/>
        <w:ind w:firstLine="643"/>
        <w:jc w:val="both"/>
        <w:spacing w:beforeAutospacing="0" w:afterAutospacing="0"/>
        <w:rPr>
          <w:rFonts w:ascii="Times New Roman" w:hAnsi="Times New Roman"/>
          <w:b/>
          <w:color w:val="000000"/>
          <w:sz w:val="32"/>
          <w:szCs w:val="32"/>
          <w:highlight w:val="none"/>
        </w:rPr>
      </w:pPr>
      <w:r>
        <w:rPr>
          <w:rFonts w:ascii="Times New Roman" w:hAnsi="Times New Roman"/>
          <w:b/>
          <w:color w:val="000000"/>
          <w:sz w:val="32"/>
          <w:szCs w:val="32"/>
          <w:highlight w:val="none"/>
        </w:rPr>
        <w:t xml:space="preserve"> </w:t>
      </w:r>
      <w:r/>
    </w:p>
    <w:p>
      <w:pPr>
        <w:pStyle w:val="867"/>
        <w:spacing w:beforeAutospacing="0" w:afterAutospacing="0" w:line="360" w:lineRule="auto"/>
        <w:rPr>
          <w:highlight w:val="none"/>
        </w:rPr>
      </w:pPr>
      <w:r>
        <w:rPr>
          <w:highlight w:val="none"/>
        </w:rPr>
        <w:t xml:space="preserve"> </w:t>
      </w:r>
      <w:r/>
    </w:p>
    <w:p>
      <w:pPr>
        <w:pStyle w:val="867"/>
        <w:spacing w:beforeAutospacing="0" w:afterAutospacing="0" w:line="360" w:lineRule="auto"/>
        <w:rPr>
          <w:highlight w:val="none"/>
        </w:rPr>
      </w:pPr>
      <w:r>
        <w:rPr>
          <w:highlight w:val="none"/>
        </w:rPr>
        <w:t xml:space="preserve"> </w:t>
      </w:r>
      <w:r/>
    </w:p>
    <w:p>
      <w:pPr>
        <w:pStyle w:val="867"/>
        <w:spacing w:beforeAutospacing="0" w:afterAutospacing="0" w:line="360" w:lineRule="auto"/>
        <w:rPr>
          <w:highlight w:val="none"/>
        </w:rPr>
      </w:pPr>
      <w:r>
        <w:rPr>
          <w:highlight w:val="none"/>
        </w:rPr>
        <w:t xml:space="preserve"> </w:t>
      </w:r>
      <w:r/>
    </w:p>
    <w:p>
      <w:pPr>
        <w:pStyle w:val="867"/>
        <w:spacing w:beforeAutospacing="0" w:afterAutospacing="0" w:line="360" w:lineRule="auto"/>
        <w:rPr>
          <w:highlight w:val="none"/>
        </w:rPr>
      </w:pPr>
      <w:r>
        <w:rPr>
          <w:highlight w:val="none"/>
        </w:rPr>
        <w:t xml:space="preserve"> </w:t>
      </w:r>
      <w:r/>
    </w:p>
    <w:p>
      <w:pPr>
        <w:pStyle w:val="867"/>
        <w:spacing w:beforeAutospacing="0" w:afterAutospacing="0" w:line="360" w:lineRule="auto"/>
        <w:rPr>
          <w:highlight w:val="none"/>
        </w:rPr>
      </w:pPr>
      <w:r>
        <w:rPr>
          <w:highlight w:val="none"/>
        </w:rPr>
        <w:t xml:space="preserve"> </w:t>
      </w:r>
      <w:r/>
    </w:p>
    <w:p>
      <w:pPr>
        <w:pStyle w:val="867"/>
        <w:spacing w:beforeAutospacing="0" w:afterAutospacing="0" w:line="360" w:lineRule="auto"/>
        <w:rPr>
          <w:highlight w:val="none"/>
        </w:rPr>
      </w:pPr>
      <w:r>
        <w:rPr>
          <w:highlight w:val="none"/>
        </w:rPr>
        <w:t xml:space="preserve"> </w:t>
      </w:r>
      <w:r/>
    </w:p>
    <w:p>
      <w:pPr>
        <w:pStyle w:val="867"/>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宋体" w:hAnsi="宋体" w:eastAsia="宋体" w:cs="宋体"/>
          <w:b/>
          <w:color w:val="auto"/>
          <w:sz w:val="32"/>
          <w:szCs w:val="32"/>
          <w:highlight w:val="none"/>
          <w:lang w:eastAsia="zh-CN"/>
        </w:rPr>
        <w:t xml:space="preserve">盐城市住房和城乡建设局</w:t>
      </w:r>
      <w:r/>
    </w:p>
    <w:p>
      <w:pPr>
        <w:pStyle w:val="867"/>
        <w:jc w:val="center"/>
        <w:spacing w:before="120" w:beforeAutospacing="0" w:after="120" w:afterAutospacing="0" w:line="360" w:lineRule="auto"/>
        <w:rPr>
          <w:highlight w:val="none"/>
        </w:rPr>
      </w:pPr>
      <w:r>
        <w:rPr>
          <w:rFonts w:hint="eastAsia" w:ascii="宋体" w:hAnsi="宋体" w:eastAsia="宋体" w:cs="宋体"/>
          <w:b/>
          <w:color w:val="000000"/>
          <w:sz w:val="32"/>
          <w:szCs w:val="32"/>
          <w:highlight w:val="none"/>
          <w:u w:val="none"/>
          <w:lang w:val="en-US" w:eastAsia="zh-CN"/>
        </w:rPr>
        <w:t xml:space="preserve">2025</w:t>
      </w:r>
      <w:r>
        <w:rPr>
          <w:rFonts w:hint="eastAsia" w:ascii="宋体" w:hAnsi="宋体" w:eastAsia="宋体" w:cs="宋体"/>
          <w:b/>
          <w:color w:val="000000"/>
          <w:sz w:val="32"/>
          <w:szCs w:val="32"/>
          <w:highlight w:val="none"/>
          <w:u w:val="none"/>
        </w:rPr>
        <w:t xml:space="preserve">年</w:t>
      </w:r>
      <w:r>
        <w:rPr>
          <w:rFonts w:hint="eastAsia" w:ascii="宋体" w:hAnsi="宋体" w:eastAsia="宋体" w:cs="宋体"/>
          <w:b/>
          <w:color w:val="000000"/>
          <w:sz w:val="32"/>
          <w:szCs w:val="32"/>
          <w:highlight w:val="none"/>
          <w:u w:val="none"/>
          <w:lang w:val="en-US" w:eastAsia="zh-CN"/>
        </w:rPr>
        <w:t xml:space="preserve">12</w:t>
      </w:r>
      <w:r>
        <w:rPr>
          <w:rFonts w:hint="eastAsia" w:ascii="宋体" w:hAnsi="宋体" w:eastAsia="宋体" w:cs="宋体"/>
          <w:b/>
          <w:color w:val="000000"/>
          <w:sz w:val="32"/>
          <w:szCs w:val="32"/>
          <w:highlight w:val="none"/>
          <w:u w:val="none"/>
        </w:rPr>
        <w:t xml:space="preserve">月</w:t>
      </w:r>
      <w:r/>
    </w:p>
    <w:p>
      <w:pPr>
        <w:pStyle w:val="867"/>
        <w:spacing w:before="120" w:beforeAutospacing="0" w:after="120" w:afterAutospacing="0" w:line="360" w:lineRule="auto"/>
        <w:rPr>
          <w:highlight w:val="none"/>
        </w:rPr>
      </w:pPr>
      <w:r>
        <w:rPr>
          <w:rFonts w:ascii="Arial" w:hAnsi="Arial" w:cs="Arial"/>
          <w:color w:val="000000"/>
          <w:highlight w:val="none"/>
        </w:rPr>
        <w:t xml:space="preserve">                        </w:t>
      </w:r>
      <w:r/>
    </w:p>
    <w:p>
      <w:pPr>
        <w:pStyle w:val="867"/>
        <w:jc w:val="center"/>
        <w:spacing w:before="120" w:beforeAutospacing="0" w:after="120" w:afterAutospacing="0" w:line="360" w:lineRule="auto"/>
        <w:rPr>
          <w:highlight w:val="none"/>
        </w:rPr>
      </w:pPr>
      <w:r>
        <w:rPr>
          <w:highlight w:val="none"/>
        </w:rPr>
        <w:t xml:space="preserve"> </w:t>
      </w:r>
      <w:r/>
    </w:p>
    <w:p>
      <w:pPr>
        <w:pStyle w:val="867"/>
        <w:jc w:val="center"/>
        <w:spacing w:beforeAutospacing="0" w:afterAutospacing="0" w:line="480" w:lineRule="auto"/>
        <w:rPr>
          <w:rFonts w:hint="eastAsia" w:asciiTheme="majorEastAsia" w:hAnsiTheme="majorEastAsia" w:eastAsiaTheme="majorEastAsia" w:cstheme="majorEastAsia"/>
          <w:color w:val="000000"/>
          <w:sz w:val="21"/>
          <w:szCs w:val="21"/>
          <w:highlight w:val="none"/>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Theme="majorEastAsia" w:hAnsiTheme="majorEastAsia" w:eastAsiaTheme="majorEastAsia" w:cstheme="majorEastAsia"/>
          <w:color w:val="000000"/>
          <w:sz w:val="21"/>
          <w:szCs w:val="21"/>
          <w:highlight w:val="none"/>
        </w:rPr>
      </w:r>
      <w:r/>
    </w:p>
    <w:p>
      <w:pPr>
        <w:pStyle w:val="867"/>
        <w:jc w:val="center"/>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21"/>
          <w:szCs w:val="21"/>
          <w:highlight w:val="none"/>
        </w:rPr>
        <w:t xml:space="preserve"> </w:t>
      </w:r>
      <w:bookmarkStart w:id="0" w:name="_Toc513029200"/>
      <w:r/>
      <w:bookmarkStart w:id="1" w:name="_Toc523127445"/>
      <w:r/>
      <w:bookmarkStart w:id="2" w:name="_Toc20823272"/>
      <w:r/>
      <w:bookmarkStart w:id="3" w:name="_Toc479757206"/>
      <w:r/>
      <w:bookmarkStart w:id="4" w:name="_Toc16938516"/>
      <w:r/>
      <w:bookmarkStart w:id="5" w:name="_Toc120614210"/>
      <w:r>
        <w:rPr>
          <w:rFonts w:hint="eastAsia" w:asciiTheme="majorEastAsia" w:hAnsiTheme="majorEastAsia" w:eastAsiaTheme="majorEastAsia" w:cstheme="majorEastAsia"/>
          <w:color w:val="000000"/>
          <w:sz w:val="21"/>
          <w:szCs w:val="21"/>
          <w:highlight w:val="none"/>
        </w:rPr>
        <w:t xml:space="preserve"> </w:t>
      </w:r>
      <w:r>
        <w:rPr>
          <w:rFonts w:hint="eastAsia" w:asciiTheme="majorEastAsia" w:hAnsiTheme="majorEastAsia" w:eastAsiaTheme="majorEastAsia" w:cstheme="majorEastAsia"/>
          <w:b/>
          <w:color w:val="000000"/>
          <w:sz w:val="44"/>
          <w:szCs w:val="44"/>
          <w:highlight w:val="none"/>
        </w:rPr>
        <w:t xml:space="preserve">总  目  录</w:t>
      </w:r>
      <w:bookmarkEnd w:id="0"/>
      <w:r/>
      <w:bookmarkEnd w:id="1"/>
      <w:r/>
      <w:bookmarkEnd w:id="2"/>
      <w:r/>
      <w:bookmarkEnd w:id="3"/>
      <w:r/>
      <w:bookmarkEnd w:id="4"/>
      <w:r/>
      <w:bookmarkEnd w:id="5"/>
      <w:r/>
      <w:r/>
    </w:p>
    <w:p>
      <w:pPr>
        <w:pStyle w:val="867"/>
        <w:jc w:val="both"/>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67"/>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招标公告</w:t>
      </w:r>
      <w:r>
        <w:rPr>
          <w:rFonts w:hint="eastAsia" w:asciiTheme="majorEastAsia" w:hAnsiTheme="majorEastAsia" w:eastAsiaTheme="majorEastAsia" w:cstheme="majorEastAsia"/>
          <w:color w:val="000000"/>
          <w:sz w:val="36"/>
          <w:szCs w:val="36"/>
          <w:highlight w:val="none"/>
        </w:rPr>
        <w:t xml:space="preserve">……………………………………</w:t>
      </w:r>
      <w:r>
        <w:rPr>
          <w:rFonts w:hint="eastAsia" w:asciiTheme="majorEastAsia" w:hAnsiTheme="majorEastAsia" w:eastAsiaTheme="majorEastAsia" w:cstheme="majorEastAsia"/>
          <w:color w:val="000000"/>
          <w:sz w:val="36"/>
          <w:szCs w:val="36"/>
          <w:highlight w:val="none"/>
          <w:lang w:val="en-US" w:eastAsia="zh-CN"/>
        </w:rPr>
        <w:t xml:space="preserve">1</w:t>
      </w:r>
      <w:r>
        <w:rPr>
          <w:rFonts w:hint="eastAsia" w:asciiTheme="majorEastAsia" w:hAnsiTheme="majorEastAsia" w:eastAsiaTheme="majorEastAsia" w:cstheme="majorEastAsia"/>
          <w:color w:val="000000"/>
          <w:sz w:val="36"/>
          <w:szCs w:val="36"/>
          <w:highlight w:val="none"/>
        </w:rPr>
        <w:t xml:space="preserve"> </w:t>
      </w:r>
      <w:r/>
    </w:p>
    <w:p>
      <w:pPr>
        <w:pStyle w:val="867"/>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rPr>
        <w:t xml:space="preserve">投标人须知…………………………………</w:t>
      </w:r>
      <w:r>
        <w:rPr>
          <w:rFonts w:hint="eastAsia" w:asciiTheme="majorEastAsia" w:hAnsiTheme="majorEastAsia" w:eastAsiaTheme="majorEastAsia" w:cstheme="majorEastAsia"/>
          <w:color w:val="000000"/>
          <w:sz w:val="36"/>
          <w:szCs w:val="36"/>
          <w:highlight w:val="none"/>
          <w:lang w:val="en-US" w:eastAsia="zh-CN"/>
        </w:rPr>
        <w:t xml:space="preserve">5</w:t>
      </w:r>
      <w:r>
        <w:rPr>
          <w:rFonts w:hint="eastAsia" w:asciiTheme="majorEastAsia" w:hAnsiTheme="majorEastAsia" w:eastAsiaTheme="majorEastAsia" w:cstheme="majorEastAsia"/>
          <w:color w:val="000000"/>
          <w:sz w:val="36"/>
          <w:szCs w:val="36"/>
          <w:highlight w:val="none"/>
        </w:rPr>
        <w:t xml:space="preserve">  </w:t>
      </w:r>
      <w:r/>
    </w:p>
    <w:p>
      <w:pPr>
        <w:pStyle w:val="867"/>
        <w:ind w:left="2160" w:hanging="1440"/>
        <w:jc w:val="both"/>
        <w:spacing w:beforeAutospacing="0" w:afterAutospacing="0" w:line="480" w:lineRule="auto"/>
        <w:tabs>
          <w:tab w:val="left" w:pos="1441" w:leader="none"/>
        </w:tabs>
        <w:rPr>
          <w:rFonts w:hint="default"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color w:val="000000"/>
          <w:sz w:val="36"/>
          <w:szCs w:val="36"/>
          <w:highlight w:val="none"/>
        </w:rPr>
        <w:t xml:space="preserve">合同文本……………………………………</w:t>
      </w:r>
      <w:r>
        <w:rPr>
          <w:rFonts w:hint="eastAsia" w:asciiTheme="majorEastAsia" w:hAnsiTheme="majorEastAsia" w:eastAsiaTheme="majorEastAsia" w:cstheme="majorEastAsia"/>
          <w:color w:val="000000"/>
          <w:sz w:val="36"/>
          <w:szCs w:val="36"/>
          <w:highlight w:val="none"/>
          <w:lang w:val="en-US" w:eastAsia="zh-CN"/>
        </w:rPr>
        <w:t xml:space="preserve">20</w:t>
      </w:r>
      <w:r/>
    </w:p>
    <w:p>
      <w:pPr>
        <w:pStyle w:val="867"/>
        <w:ind w:left="2160" w:hanging="1440"/>
        <w:jc w:val="both"/>
        <w:spacing w:beforeAutospacing="0" w:afterAutospacing="0" w:line="480" w:lineRule="auto"/>
        <w:tabs>
          <w:tab w:val="left" w:pos="1441" w:leader="none"/>
        </w:tabs>
        <w:rPr>
          <w:rFonts w:hint="default"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color w:val="000000"/>
          <w:sz w:val="36"/>
          <w:szCs w:val="36"/>
          <w:highlight w:val="none"/>
        </w:rPr>
        <w:t xml:space="preserve">采购需求……………………………………</w:t>
      </w:r>
      <w:r>
        <w:rPr>
          <w:rFonts w:hint="eastAsia" w:asciiTheme="majorEastAsia" w:hAnsiTheme="majorEastAsia" w:eastAsiaTheme="majorEastAsia" w:cstheme="majorEastAsia"/>
          <w:color w:val="000000"/>
          <w:sz w:val="36"/>
          <w:szCs w:val="36"/>
          <w:highlight w:val="none"/>
          <w:lang w:val="en-US" w:eastAsia="zh-CN"/>
        </w:rPr>
        <w:t xml:space="preserve">26</w:t>
      </w:r>
      <w:r/>
    </w:p>
    <w:p>
      <w:pPr>
        <w:pStyle w:val="867"/>
        <w:ind w:left="2160" w:hanging="1440"/>
        <w:jc w:val="both"/>
        <w:spacing w:beforeAutospacing="0" w:afterAutospacing="0" w:line="480" w:lineRule="auto"/>
        <w:tabs>
          <w:tab w:val="left" w:pos="1441" w:leader="none"/>
        </w:tabs>
        <w:rPr>
          <w:rFonts w:hint="default"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color w:val="000000"/>
          <w:sz w:val="36"/>
          <w:szCs w:val="36"/>
          <w:highlight w:val="none"/>
        </w:rPr>
        <w:t xml:space="preserve">评标方法与评标标准………………………</w:t>
      </w:r>
      <w:r>
        <w:rPr>
          <w:rFonts w:hint="eastAsia" w:asciiTheme="majorEastAsia" w:hAnsiTheme="majorEastAsia" w:eastAsiaTheme="majorEastAsia" w:cstheme="majorEastAsia"/>
          <w:color w:val="000000"/>
          <w:sz w:val="36"/>
          <w:szCs w:val="36"/>
          <w:highlight w:val="none"/>
          <w:lang w:val="en-US" w:eastAsia="zh-CN"/>
        </w:rPr>
        <w:t xml:space="preserve">47</w:t>
      </w:r>
      <w:r/>
    </w:p>
    <w:p>
      <w:pPr>
        <w:pStyle w:val="867"/>
        <w:ind w:left="2160" w:hanging="1440"/>
        <w:jc w:val="both"/>
        <w:spacing w:beforeAutospacing="0" w:afterAutospacing="0" w:line="480" w:lineRule="auto"/>
        <w:tabs>
          <w:tab w:val="left" w:pos="1441" w:leader="none"/>
        </w:tabs>
        <w:rPr>
          <w:rFonts w:hint="default"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color w:val="000000"/>
          <w:sz w:val="36"/>
          <w:szCs w:val="36"/>
          <w:highlight w:val="none"/>
        </w:rPr>
        <w:t xml:space="preserve">投标文件格式………………………………</w:t>
      </w:r>
      <w:r>
        <w:rPr>
          <w:rFonts w:hint="eastAsia" w:asciiTheme="majorEastAsia" w:hAnsiTheme="majorEastAsia" w:eastAsiaTheme="majorEastAsia" w:cstheme="majorEastAsia"/>
          <w:color w:val="000000"/>
          <w:sz w:val="36"/>
          <w:szCs w:val="36"/>
          <w:highlight w:val="none"/>
          <w:lang w:val="en-US" w:eastAsia="zh-CN"/>
        </w:rPr>
        <w:t xml:space="preserve">52</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rPr>
          <w:highlight w:val="none"/>
        </w:rPr>
      </w:r>
      <w:r/>
    </w:p>
    <w:p>
      <w:pPr>
        <w:pStyle w:val="867"/>
        <w:jc w:val="center"/>
        <w:spacing w:beforeAutospacing="0" w:afterAutospacing="0"/>
        <w:rPr>
          <w:rFonts w:hint="eastAsia" w:ascii="黑体" w:hAnsi="宋体" w:eastAsia="黑体" w:cs="黑体"/>
          <w:color w:val="000000"/>
          <w:sz w:val="44"/>
          <w:szCs w:val="44"/>
          <w:highlight w:val="none"/>
        </w:rPr>
        <w:sectPr>
          <w:footerReference w:type="default" r:id="rId9"/>
          <w:footnotePr/>
          <w:endnotePr/>
          <w:type w:val="nextPage"/>
          <w:pgSz w:w="11906" w:h="16838" w:orient="portrait"/>
          <w:pgMar w:top="1440" w:right="1803" w:bottom="1440" w:left="1803" w:header="851" w:footer="992" w:gutter="0"/>
          <w:pgNumType w:start="1"/>
          <w:cols w:num="1" w:sep="0" w:space="425" w:equalWidth="1"/>
          <w:docGrid w:linePitch="360"/>
        </w:sectPr>
      </w:pPr>
      <w:r>
        <w:rPr>
          <w:rFonts w:hint="eastAsia" w:ascii="黑体" w:hAnsi="宋体" w:eastAsia="黑体" w:cs="黑体"/>
          <w:color w:val="000000"/>
          <w:sz w:val="44"/>
          <w:szCs w:val="44"/>
          <w:highlight w:val="none"/>
        </w:rPr>
      </w:r>
      <w:r/>
    </w:p>
    <w:p>
      <w:pPr>
        <w:pStyle w:val="867"/>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67"/>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67"/>
        <w:jc w:val="both"/>
        <w:pageBreakBefore w:val="0"/>
        <w:spacing w:beforeAutospacing="0" w:afterAutospacing="0" w:line="360" w:lineRule="auto"/>
        <w:rPr>
          <w:rFonts w:hint="eastAsia" w:ascii="宋体" w:hAnsi="宋体" w:eastAsia="宋体" w:cs="宋体"/>
          <w:sz w:val="24"/>
          <w:szCs w:val="24"/>
          <w:highlight w:val="none"/>
          <w:u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lang w:eastAsia="zh-CN"/>
        </w:rPr>
        <w:t xml:space="preserve">盐城市智慧住建综合管理平台（城市体检与更新子系统）项目</w:t>
      </w:r>
      <w:r>
        <w:rPr>
          <w:rFonts w:hint="eastAsia" w:ascii="宋体" w:hAnsi="宋体" w:eastAsia="宋体" w:cs="宋体"/>
          <w:i w:val="0"/>
          <w:iCs w:val="0"/>
          <w:caps w:val="0"/>
          <w:color w:val="auto"/>
          <w:spacing w:val="0"/>
          <w:sz w:val="24"/>
          <w:szCs w:val="24"/>
          <w:highlight w:val="none"/>
          <w:u w:val="none"/>
          <w:shd w:val="clear" w:color="auto" w:fill="ffffff"/>
          <w:lang w:eastAsia="zh-CN"/>
        </w:rPr>
        <w:t xml:space="preserve">JSZC-320900-</w:t>
      </w:r>
      <w:r>
        <w:rPr>
          <w:rFonts w:hint="eastAsia" w:ascii="宋体" w:hAnsi="宋体" w:eastAsia="宋体" w:cs="宋体"/>
          <w:color w:val="000000"/>
          <w:sz w:val="24"/>
          <w:szCs w:val="24"/>
          <w:highlight w:val="none"/>
          <w:u w:val="none"/>
          <w:lang w:val="en-US" w:eastAsia="zh-CN"/>
        </w:rPr>
        <w:t xml:space="preserve">JZCG-G2025-0072</w:t>
      </w:r>
      <w:r>
        <w:rPr>
          <w:rFonts w:hint="eastAsia" w:ascii="宋体" w:hAnsi="宋体" w:eastAsia="宋体" w:cs="宋体"/>
          <w:color w:val="000000"/>
          <w:sz w:val="24"/>
          <w:szCs w:val="24"/>
          <w:highlight w:val="none"/>
          <w:u w:val="none"/>
        </w:rPr>
        <w:t xml:space="preserve">招标项目的潜在投标人</w:t>
      </w:r>
      <w:r>
        <w:rPr>
          <w:rFonts w:hint="eastAsia" w:ascii="宋体" w:hAnsi="宋体" w:eastAsia="宋体" w:cs="宋体"/>
          <w:color w:val="000000"/>
          <w:sz w:val="24"/>
          <w:szCs w:val="24"/>
          <w:highlight w:val="none"/>
          <w:u w:val="none"/>
          <w:lang w:val="en-US" w:eastAsia="zh-CN"/>
        </w:rPr>
        <w:t xml:space="preserve">应</w:t>
      </w:r>
      <w:r>
        <w:rPr>
          <w:rFonts w:hint="eastAsia" w:ascii="宋体" w:hAnsi="宋体" w:eastAsia="宋体" w:cs="宋体"/>
          <w:color w:val="000000"/>
          <w:sz w:val="24"/>
          <w:szCs w:val="24"/>
          <w:highlight w:val="none"/>
          <w:u w:val="none"/>
        </w:rPr>
        <w:t xml:space="preserve">在</w:t>
      </w:r>
      <w:r>
        <w:rPr>
          <w:rFonts w:hint="eastAsia" w:ascii="宋体" w:hAnsi="宋体" w:eastAsia="宋体" w:cs="宋体"/>
          <w:i w:val="0"/>
          <w:iCs w:val="0"/>
          <w:caps w:val="0"/>
          <w:color w:val="333333"/>
          <w:spacing w:val="0"/>
          <w:sz w:val="24"/>
          <w:szCs w:val="24"/>
          <w:highlight w:val="none"/>
          <w:u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u w:val="none"/>
        </w:rPr>
        <w:t xml:space="preserve">，并于</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2026-01-13 09：00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sz w:val="24"/>
          <w:szCs w:val="24"/>
          <w:highlight w:val="none"/>
          <w:u w:val="none"/>
        </w:rPr>
        <w:t xml:space="preserve">前递交投标文件。</w:t>
      </w:r>
      <w:r/>
    </w:p>
    <w:p>
      <w:pPr>
        <w:pStyle w:val="867"/>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6" w:name="_Toc28359002"/>
      <w:r/>
      <w:bookmarkStart w:id="7" w:name="_Toc38985263"/>
      <w:r/>
      <w:bookmarkStart w:id="8" w:name="_Toc28359079"/>
      <w:r/>
      <w:bookmarkStart w:id="9" w:name="_Toc35393621"/>
      <w:r/>
      <w:bookmarkStart w:id="10" w:name="_Hlk24379207"/>
      <w:r/>
      <w:bookmarkStart w:id="11" w:name="_Toc35393790"/>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JSZC-320900-</w:t>
      </w:r>
      <w:r>
        <w:rPr>
          <w:rFonts w:hint="eastAsia" w:ascii="宋体" w:hAnsi="宋体" w:eastAsia="宋体" w:cs="宋体"/>
          <w:i w:val="0"/>
          <w:iCs w:val="0"/>
          <w:caps w:val="0"/>
          <w:color w:val="auto"/>
          <w:spacing w:val="0"/>
          <w:sz w:val="24"/>
          <w:szCs w:val="24"/>
          <w:highlight w:val="none"/>
          <w:u w:val="none"/>
          <w:shd w:val="clear" w:color="auto" w:fill="ffffff"/>
          <w:lang w:eastAsia="zh-CN"/>
        </w:rPr>
        <w:t xml:space="preserve">-</w:t>
      </w:r>
      <w:r>
        <w:rPr>
          <w:rFonts w:hint="eastAsia" w:ascii="宋体" w:hAnsi="宋体" w:eastAsia="宋体" w:cs="宋体"/>
          <w:color w:val="000000"/>
          <w:sz w:val="24"/>
          <w:szCs w:val="24"/>
          <w:highlight w:val="none"/>
          <w:u w:val="none"/>
          <w:lang w:val="en-US" w:eastAsia="zh-CN"/>
        </w:rPr>
        <w:t xml:space="preserve">JZCG-G2025-0072</w:t>
      </w:r>
      <w:r/>
    </w:p>
    <w:p>
      <w:pPr>
        <w:pStyle w:val="867"/>
        <w:ind w:firstLine="480"/>
        <w:jc w:val="both"/>
        <w:pageBreakBefore w:val="0"/>
        <w:spacing w:beforeAutospacing="0" w:afterAutospacing="0" w:line="360" w:lineRule="auto"/>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auto"/>
          <w:sz w:val="24"/>
          <w:szCs w:val="24"/>
          <w:highlight w:val="none"/>
          <w:u w:val="none"/>
          <w:lang w:eastAsia="zh-CN"/>
        </w:rPr>
        <w:t xml:space="preserve">盐城市智慧住建综合管理平台（城市体检与更新子系统）</w:t>
      </w:r>
      <w:r>
        <w:rPr>
          <w:rFonts w:hint="eastAsia" w:ascii="宋体" w:hAnsi="宋体" w:eastAsia="宋体" w:cs="宋体"/>
          <w:color w:val="auto"/>
          <w:sz w:val="24"/>
          <w:szCs w:val="24"/>
          <w:highlight w:val="none"/>
          <w:u w:val="none"/>
          <w:lang w:val="en-US" w:eastAsia="zh-CN"/>
        </w:rPr>
        <w:t xml:space="preserve">项目</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49万元</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49万元</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auto"/>
          <w:sz w:val="24"/>
          <w:szCs w:val="24"/>
          <w:highlight w:val="none"/>
        </w:rPr>
        <w:t xml:space="preserve">以城市体检数据库为基础，建设城市体检和更新项目信息管理系统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8"/>
          <w:highlight w:val="none"/>
        </w:rPr>
        <w:t xml:space="preserve">自合同签订之日起</w:t>
      </w:r>
      <w:r>
        <w:rPr>
          <w:rFonts w:hint="eastAsia" w:ascii="宋体" w:hAnsi="宋体" w:eastAsia="宋体" w:cs="宋体"/>
          <w:color w:val="auto"/>
          <w:sz w:val="24"/>
          <w:szCs w:val="28"/>
          <w:highlight w:val="none"/>
          <w:lang w:val="en-US" w:eastAsia="zh-CN"/>
        </w:rPr>
        <w:t xml:space="preserve">120天</w:t>
      </w:r>
      <w:r>
        <w:rPr>
          <w:rFonts w:hint="eastAsia" w:ascii="宋体" w:hAnsi="宋体" w:eastAsia="宋体" w:cs="宋体"/>
          <w:color w:val="auto"/>
          <w:sz w:val="24"/>
          <w:szCs w:val="28"/>
          <w:highlight w:val="none"/>
        </w:rPr>
        <w:t xml:space="preserve">内完成所有软件系统的开发、安装部署、测试等工作，完成初验并进入试运行阶段，试运行3个月后系统最终验收</w:t>
      </w:r>
      <w:r>
        <w:rPr>
          <w:rFonts w:hint="eastAsia" w:ascii="宋体" w:hAnsi="宋体" w:eastAsia="宋体" w:cs="宋体"/>
          <w:color w:val="auto"/>
          <w:sz w:val="24"/>
          <w:szCs w:val="24"/>
          <w:highlight w:val="none"/>
        </w:rPr>
        <w:t xml:space="preserve">，本项目软件免费运维服务期为验收合格后</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本项目（是/否）接受联合体投标：否</w:t>
      </w:r>
      <w:r/>
    </w:p>
    <w:p>
      <w:pPr>
        <w:pStyle w:val="867"/>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2" w:name="_Toc28359003"/>
      <w:r/>
      <w:bookmarkStart w:id="13" w:name="_Toc35393791"/>
      <w:r/>
      <w:bookmarkStart w:id="14" w:name="_Toc38985264"/>
      <w:r/>
      <w:bookmarkStart w:id="15" w:name="_Toc35393622"/>
      <w:r/>
      <w:bookmarkStart w:id="16" w:name="_Toc28359080"/>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867"/>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67"/>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67"/>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867"/>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bookmarkStart w:id="17" w:name="OLE_LINK24"/>
      <w:r/>
      <w:bookmarkStart w:id="18" w:name="OLE_LINK23"/>
      <w:r>
        <w:rPr>
          <w:rFonts w:hint="eastAsia" w:ascii="宋体" w:hAnsi="宋体" w:eastAsia="宋体" w:cs="宋体"/>
          <w:color w:val="auto"/>
          <w:sz w:val="24"/>
          <w:szCs w:val="20"/>
          <w:highlight w:val="none"/>
        </w:rPr>
        <w:t xml:space="preserve">本项目专门面向中小企业采购。采购标的所属行业为</w:t>
      </w:r>
      <w:r>
        <w:rPr>
          <w:rFonts w:hint="eastAsia" w:ascii="宋体" w:hAnsi="宋体" w:eastAsia="宋体" w:cs="宋体"/>
          <w:color w:val="auto"/>
          <w:sz w:val="24"/>
          <w:szCs w:val="24"/>
          <w:highlight w:val="none"/>
          <w:shd w:val="clear" w:color="auto" w:fill="auto"/>
        </w:rPr>
        <w:t xml:space="preserve">软件和信息技术服务业</w:t>
      </w:r>
      <w:r>
        <w:rPr>
          <w:rFonts w:hint="eastAsia" w:ascii="宋体" w:hAnsi="宋体" w:eastAsia="宋体" w:cs="宋体"/>
          <w:color w:val="auto"/>
          <w:sz w:val="24"/>
          <w:szCs w:val="20"/>
          <w:highlight w:val="none"/>
        </w:rPr>
        <w:t xml:space="preserve">，投标人</w:t>
      </w:r>
      <w:r>
        <w:rPr>
          <w:rFonts w:hint="eastAsia" w:ascii="宋体" w:hAnsi="宋体" w:eastAsia="宋体" w:cs="宋体"/>
          <w:color w:val="auto"/>
          <w:sz w:val="24"/>
          <w:szCs w:val="20"/>
          <w:highlight w:val="none"/>
          <w:lang w:val="en-US" w:eastAsia="zh-CN"/>
        </w:rPr>
        <w:t xml:space="preserve">必须</w:t>
      </w:r>
      <w:r>
        <w:rPr>
          <w:rFonts w:hint="eastAsia" w:ascii="宋体" w:hAnsi="宋体" w:eastAsia="宋体" w:cs="宋体"/>
          <w:color w:val="auto"/>
          <w:sz w:val="24"/>
          <w:szCs w:val="20"/>
          <w:highlight w:val="none"/>
        </w:rPr>
        <w:t xml:space="preserve">按照</w:t>
      </w:r>
      <w:r>
        <w:rPr>
          <w:rFonts w:hint="eastAsia" w:ascii="宋体" w:hAnsi="宋体" w:eastAsia="宋体" w:cs="宋体"/>
          <w:color w:val="auto"/>
          <w:sz w:val="24"/>
          <w:szCs w:val="20"/>
          <w:highlight w:val="none"/>
          <w:lang w:val="en-US" w:eastAsia="zh-CN"/>
        </w:rPr>
        <w:t xml:space="preserve">招标</w:t>
      </w:r>
      <w:r>
        <w:rPr>
          <w:rFonts w:hint="eastAsia" w:ascii="宋体" w:hAnsi="宋体" w:eastAsia="宋体" w:cs="宋体"/>
          <w:color w:val="auto"/>
          <w:sz w:val="24"/>
          <w:szCs w:val="20"/>
          <w:highlight w:val="none"/>
        </w:rPr>
        <w:t xml:space="preserve">文件的要求提供相应的《中小企业声明函》</w:t>
      </w:r>
      <w:r>
        <w:rPr>
          <w:rFonts w:hint="eastAsia" w:ascii="宋体" w:hAnsi="宋体" w:eastAsia="宋体" w:cs="宋体"/>
          <w:color w:val="auto"/>
          <w:sz w:val="24"/>
          <w:szCs w:val="20"/>
          <w:highlight w:val="none"/>
          <w:lang w:val="en-US" w:eastAsia="zh-CN"/>
        </w:rPr>
        <w:t xml:space="preserve">或《</w:t>
      </w:r>
      <w:r>
        <w:rPr>
          <w:rFonts w:hint="eastAsia" w:ascii="宋体" w:hAnsi="宋体" w:eastAsia="宋体" w:cs="宋体"/>
          <w:color w:val="auto"/>
          <w:sz w:val="24"/>
          <w:szCs w:val="20"/>
          <w:highlight w:val="none"/>
        </w:rPr>
        <w:t xml:space="preserve">残疾人福利性单位声明函</w:t>
      </w:r>
      <w:r>
        <w:rPr>
          <w:rFonts w:hint="eastAsia" w:ascii="宋体" w:hAnsi="宋体" w:eastAsia="宋体" w:cs="宋体"/>
          <w:color w:val="auto"/>
          <w:sz w:val="24"/>
          <w:szCs w:val="20"/>
          <w:highlight w:val="none"/>
          <w:lang w:val="en-US" w:eastAsia="zh-CN"/>
        </w:rPr>
        <w:t xml:space="preserve">》或</w:t>
      </w:r>
      <w:r>
        <w:rPr>
          <w:rFonts w:hint="eastAsia" w:ascii="宋体" w:hAnsi="宋体" w:eastAsia="宋体" w:cs="宋体"/>
          <w:bCs/>
          <w:color w:val="auto"/>
          <w:sz w:val="24"/>
          <w:szCs w:val="24"/>
          <w:highlight w:val="none"/>
          <w:lang w:val="en-US" w:eastAsia="zh-CN" w:bidi="ar-SA"/>
        </w:rPr>
        <w:t xml:space="preserve">由省级以上监狱管理局、戒毒管理局（含新疆生产建设兵团）出具的属于监狱企业的证明文件</w:t>
      </w:r>
      <w:r>
        <w:rPr>
          <w:rFonts w:hint="eastAsia" w:ascii="宋体" w:hAnsi="宋体" w:eastAsia="宋体" w:cs="宋体"/>
          <w:color w:val="auto"/>
          <w:sz w:val="24"/>
          <w:szCs w:val="20"/>
          <w:highlight w:val="none"/>
        </w:rPr>
        <w:t xml:space="preserve">。企业标准请参照《关于印发中小企业划型标准规定的通知》（工信部联企业</w:t>
      </w:r>
      <w:r>
        <w:rPr>
          <w:rFonts w:hint="eastAsia" w:ascii="宋体" w:hAnsi="宋体" w:eastAsia="宋体" w:cs="宋体"/>
          <w:color w:val="auto"/>
          <w:sz w:val="24"/>
          <w:szCs w:val="20"/>
          <w:highlight w:val="none"/>
          <w:lang w:eastAsia="zh-CN"/>
        </w:rPr>
        <w:t xml:space="preserve">〔2011〕300号</w:t>
      </w:r>
      <w:r>
        <w:rPr>
          <w:rFonts w:hint="eastAsia" w:ascii="宋体" w:hAnsi="宋体" w:eastAsia="宋体" w:cs="宋体"/>
          <w:color w:val="auto"/>
          <w:sz w:val="24"/>
          <w:szCs w:val="20"/>
          <w:highlight w:val="none"/>
        </w:rPr>
        <w:t xml:space="preserve">）文件规定自行填写。</w:t>
      </w:r>
      <w:bookmarkEnd w:id="17"/>
      <w:r/>
      <w:bookmarkEnd w:id="18"/>
      <w:r/>
      <w:r/>
    </w:p>
    <w:p>
      <w:pPr>
        <w:pStyle w:val="867"/>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aps w:val="0"/>
          <w:color w:val="333333"/>
          <w:spacing w:val="0"/>
          <w:sz w:val="24"/>
          <w:szCs w:val="24"/>
          <w:highlight w:val="none"/>
          <w:u w:val="none"/>
          <w:shd w:val="clear" w:color="auto" w:fill="ffffff"/>
          <w:lang w:val="en-US" w:eastAsia="zh-CN"/>
        </w:rPr>
        <w:t xml:space="preserve">无</w:t>
      </w:r>
      <w:r/>
    </w:p>
    <w:p>
      <w:pPr>
        <w:pStyle w:val="867"/>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9" w:name="_Toc28359005"/>
      <w:r/>
      <w:bookmarkStart w:id="20" w:name="_Toc38985266"/>
      <w:r/>
      <w:bookmarkStart w:id="21" w:name="_Toc35393793"/>
      <w:r/>
      <w:bookmarkStart w:id="22" w:name="_Toc35393624"/>
      <w:r/>
      <w:bookmarkStart w:id="23" w:name="_Toc28359082"/>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val="en-US" w:eastAsia="zh-CN" w:bidi="ar-SA"/>
        </w:rPr>
        <w:t xml:space="preserve">：</w:t>
      </w:r>
      <w:bookmarkEnd w:id="19"/>
      <w:r/>
      <w:bookmarkEnd w:id="20"/>
      <w:r/>
      <w:bookmarkEnd w:id="21"/>
      <w:r/>
      <w:bookmarkEnd w:id="22"/>
      <w:r/>
      <w:bookmarkEnd w:id="23"/>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售价：0元</w:t>
      </w:r>
      <w:r/>
    </w:p>
    <w:p>
      <w:pPr>
        <w:pStyle w:val="867"/>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aps w:val="0"/>
          <w:color w:val="000000" w:themeColor="text1"/>
          <w:spacing w:val="0"/>
          <w:sz w:val="24"/>
          <w:szCs w:val="24"/>
          <w:highlight w:val="none"/>
          <w:u w:val="none"/>
          <w:shd w:val="clear" w:color="auto" w:fill="auto"/>
          <w:lang w:val="en-US" w:eastAsia="zh-CN"/>
          <w14:textFill>
            <w14:solidFill>
              <w14:schemeClr w14:val="tx1"/>
            </w14:solidFill>
          </w14:textFill>
        </w:rPr>
        <w:t xml:space="preserve">2026-01-13 9:00 </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地点：苏采云“不见面”开标大厅 。</w:t>
      </w:r>
      <w:r/>
    </w:p>
    <w:p>
      <w:pPr>
        <w:pStyle w:val="867"/>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24" w:name="_Toc35393625"/>
      <w:r/>
      <w:bookmarkStart w:id="25" w:name="_Toc28359007"/>
      <w:r/>
      <w:bookmarkStart w:id="26" w:name="_Toc38985267"/>
      <w:r/>
      <w:bookmarkStart w:id="27" w:name="_Toc35393794"/>
      <w:r/>
      <w:bookmarkStart w:id="28" w:name="_Toc28359084"/>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r/>
    </w:p>
    <w:p>
      <w:pPr>
        <w:pStyle w:val="867"/>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8985268"/>
      <w:r/>
      <w:bookmarkStart w:id="30" w:name="_Toc35393795"/>
      <w:r/>
      <w:bookmarkStart w:id="31"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867"/>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67"/>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7"/>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58"/>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2"/>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盐城市住房和城乡建设局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盐城市解放南路150号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陈</w:t>
      </w:r>
      <w:r>
        <w:rPr>
          <w:rFonts w:hint="eastAsia" w:ascii="宋体" w:hAnsi="宋体" w:eastAsia="宋体" w:cs="宋体"/>
          <w:color w:val="auto"/>
          <w:sz w:val="24"/>
          <w:szCs w:val="24"/>
          <w:highlight w:val="none"/>
          <w:lang w:val="en-US" w:eastAsia="zh-CN"/>
        </w:rPr>
        <w:t xml:space="preserve">先生</w:t>
      </w:r>
      <w:r>
        <w:rPr>
          <w:rFonts w:hint="eastAsia" w:ascii="宋体" w:hAnsi="宋体" w:eastAsia="宋体" w:cs="宋体"/>
          <w:color w:val="auto"/>
          <w:sz w:val="24"/>
          <w:szCs w:val="24"/>
          <w:highlight w:val="none"/>
        </w:rPr>
        <w:t xml:space="preserve"> </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0515-81611002</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称：盐城市政府采购中心</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址：盐城市府西路1号市公共资源交易中心5楼</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联系人：倪女士                     </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4" w:name="_Toc28359087"/>
      <w:r/>
      <w:bookmarkStart w:id="35"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0515-69083502       </w:t>
      </w:r>
      <w:bookmarkEnd w:id="34"/>
      <w:r/>
      <w:bookmarkEnd w:id="3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6"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项目联系人：倪女士 </w:t>
      </w:r>
      <w:r/>
    </w:p>
    <w:p>
      <w:pPr>
        <w:pStyle w:val="867"/>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auto"/>
          <w:sz w:val="24"/>
          <w:szCs w:val="24"/>
          <w:highlight w:val="none"/>
          <w:lang w:val="en-US" w:eastAsia="zh-CN"/>
        </w:rPr>
        <w:t xml:space="preserve">0515-69083502</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7"/>
        <w:ind w:right="0"/>
        <w:jc w:val="center"/>
        <w:keepLines w:val="0"/>
        <w:keepNext w:val="0"/>
        <w:pageBreakBefore w:val="0"/>
        <w:spacing w:beforeAutospacing="0" w:afterAutospacing="0" w:line="240" w:lineRule="auto"/>
        <w:widowControl w:val="off"/>
        <w:rPr>
          <w:rFonts w:hint="eastAsia" w:ascii="黑体" w:hAnsi="黑体" w:eastAsia="黑体" w:cs="黑体"/>
          <w:sz w:val="48"/>
          <w:szCs w:val="48"/>
          <w:highlight w:val="none"/>
          <w:lang w:eastAsia="zh-CN"/>
        </w:rPr>
      </w:pPr>
      <w:r>
        <w:rPr>
          <w:rFonts w:hint="eastAsia" w:ascii="宋体" w:hAnsi="宋体" w:eastAsia="宋体" w:cs="宋体"/>
          <w:color w:val="000000"/>
          <w:sz w:val="24"/>
          <w:szCs w:val="24"/>
          <w:highlight w:val="none"/>
        </w:rPr>
        <w:br w:type="page" w:clear="all"/>
      </w:r>
      <w:bookmarkStart w:id="37" w:name="_Toc120614211"/>
      <w:r>
        <w:rPr>
          <w:rFonts w:hint="eastAsia" w:ascii="黑体" w:hAnsi="黑体" w:eastAsia="黑体" w:cs="黑体"/>
          <w:b w:val="0"/>
          <w:bCs w:val="0"/>
          <w:sz w:val="44"/>
          <w:szCs w:val="44"/>
          <w:highlight w:val="none"/>
        </w:rPr>
        <w:t xml:space="preserve">第二章  </w:t>
      </w:r>
      <w:bookmarkEnd w:id="37"/>
      <w:r/>
      <w:bookmarkStart w:id="38" w:name="_Toc513029202"/>
      <w:r/>
      <w:bookmarkStart w:id="39" w:name="_Toc16938518"/>
      <w:r/>
      <w:bookmarkStart w:id="40" w:name="_Toc120614213"/>
      <w:r/>
      <w:bookmarkStart w:id="41" w:name="_Toc20823274"/>
      <w:r>
        <w:rPr>
          <w:rFonts w:hint="eastAsia" w:ascii="黑体" w:hAnsi="黑体" w:eastAsia="黑体" w:cs="黑体"/>
          <w:b w:val="0"/>
          <w:bCs w:val="0"/>
          <w:sz w:val="44"/>
          <w:szCs w:val="44"/>
          <w:highlight w:val="none"/>
        </w:rPr>
        <w:t xml:space="preserve">投标人须知</w:t>
      </w:r>
      <w:bookmarkEnd w:id="38"/>
      <w:r/>
      <w:bookmarkEnd w:id="39"/>
      <w:r/>
      <w:bookmarkEnd w:id="40"/>
      <w:r/>
      <w:bookmarkEnd w:id="41"/>
      <w:r/>
      <w:r/>
    </w:p>
    <w:p>
      <w:pPr>
        <w:pStyle w:val="867"/>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2" w:name="_Toc513029203"/>
      <w:r/>
      <w:bookmarkStart w:id="43" w:name="_Toc16938519"/>
      <w:r/>
      <w:bookmarkStart w:id="44" w:name="_Toc120614214"/>
      <w:r/>
      <w:bookmarkStart w:id="45" w:name="_Toc20823275"/>
      <w:r>
        <w:rPr>
          <w:rFonts w:hint="eastAsia" w:ascii="宋体" w:hAnsi="宋体" w:eastAsia="宋体" w:cs="宋体"/>
          <w:b/>
          <w:color w:val="000000"/>
          <w:sz w:val="24"/>
          <w:szCs w:val="24"/>
          <w:highlight w:val="none"/>
        </w:rPr>
        <w:t xml:space="preserve">一、总则</w:t>
      </w:r>
      <w:bookmarkEnd w:id="42"/>
      <w:r/>
      <w:bookmarkEnd w:id="43"/>
      <w:r/>
      <w:bookmarkEnd w:id="44"/>
      <w:r/>
      <w:bookmarkEnd w:id="45"/>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6" w:name="_Toc16938520"/>
      <w:r/>
      <w:bookmarkStart w:id="47" w:name="_Toc458694821"/>
      <w:r/>
      <w:bookmarkStart w:id="48" w:name="_Toc513029204"/>
      <w:r/>
      <w:bookmarkStart w:id="49" w:name="_Toc20823276"/>
      <w:r/>
      <w:bookmarkStart w:id="50" w:name="_Hlt16619475"/>
      <w:r>
        <w:rPr>
          <w:rFonts w:hint="eastAsia" w:ascii="宋体" w:hAnsi="宋体" w:eastAsia="宋体" w:cs="宋体"/>
          <w:color w:val="000000"/>
          <w:sz w:val="24"/>
          <w:szCs w:val="24"/>
          <w:highlight w:val="none"/>
        </w:rPr>
        <w:t xml:space="preserve">1</w:t>
      </w:r>
      <w:bookmarkEnd w:id="46"/>
      <w:r>
        <w:rPr>
          <w:rFonts w:hint="eastAsia" w:ascii="宋体" w:hAnsi="宋体" w:eastAsia="宋体" w:cs="宋体"/>
          <w:color w:val="000000"/>
          <w:sz w:val="24"/>
          <w:szCs w:val="24"/>
          <w:highlight w:val="none"/>
        </w:rPr>
        <w:t xml:space="preserve">、招标方式</w:t>
      </w:r>
      <w:bookmarkEnd w:id="47"/>
      <w:r/>
      <w:bookmarkEnd w:id="48"/>
      <w:r/>
      <w:bookmarkEnd w:id="49"/>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1" w:name="_Toc20823277"/>
      <w:r/>
      <w:bookmarkStart w:id="52" w:name="_Toc513029205"/>
      <w:r/>
      <w:bookmarkStart w:id="53" w:name="_Toc16938521"/>
      <w:r>
        <w:rPr>
          <w:rFonts w:hint="eastAsia" w:ascii="宋体" w:hAnsi="宋体" w:eastAsia="宋体" w:cs="宋体"/>
          <w:color w:val="000000"/>
          <w:sz w:val="24"/>
          <w:szCs w:val="24"/>
          <w:highlight w:val="none"/>
        </w:rPr>
        <w:t xml:space="preserve">2、合格的投标人</w:t>
      </w:r>
      <w:bookmarkEnd w:id="51"/>
      <w:r/>
      <w:bookmarkEnd w:id="52"/>
      <w:r/>
      <w:bookmarkEnd w:id="53"/>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4" w:name="_Toc16938522"/>
      <w:r/>
      <w:bookmarkStart w:id="55" w:name="_Toc20823278"/>
      <w:r/>
      <w:bookmarkStart w:id="56" w:name="_Toc513029206"/>
      <w:r>
        <w:rPr>
          <w:rFonts w:hint="eastAsia" w:ascii="宋体" w:hAnsi="宋体" w:eastAsia="宋体" w:cs="宋体"/>
          <w:color w:val="000000"/>
          <w:sz w:val="24"/>
          <w:szCs w:val="24"/>
          <w:highlight w:val="none"/>
        </w:rPr>
        <w:t xml:space="preserve">3、适用法律</w:t>
      </w:r>
      <w:bookmarkEnd w:id="54"/>
      <w:r/>
      <w:bookmarkEnd w:id="55"/>
      <w:r/>
      <w:bookmarkEnd w:id="56"/>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7" w:name="_Toc513029207"/>
      <w:r/>
      <w:bookmarkStart w:id="58" w:name="_Toc462564067"/>
      <w:r/>
      <w:bookmarkStart w:id="59" w:name="_Toc20823279"/>
      <w:r/>
      <w:bookmarkStart w:id="60" w:name="_Toc16938523"/>
      <w:r>
        <w:rPr>
          <w:rFonts w:hint="eastAsia" w:ascii="宋体" w:hAnsi="宋体" w:eastAsia="宋体" w:cs="宋体"/>
          <w:color w:val="000000"/>
          <w:sz w:val="24"/>
          <w:szCs w:val="24"/>
          <w:highlight w:val="none"/>
        </w:rPr>
        <w:t xml:space="preserve">4、投标费用</w:t>
      </w:r>
      <w:bookmarkEnd w:id="57"/>
      <w:r/>
      <w:bookmarkEnd w:id="58"/>
      <w:r/>
      <w:bookmarkEnd w:id="59"/>
      <w:r/>
      <w:bookmarkEnd w:id="60"/>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pStyle w:val="867"/>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67"/>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61" w:name="_Toc16938525"/>
      <w:r/>
      <w:bookmarkStart w:id="62" w:name="_Toc20823281"/>
      <w:r/>
      <w:bookmarkStart w:id="63" w:name="_Toc120614215"/>
      <w:r/>
      <w:bookmarkStart w:id="64" w:name="_Toc513029209"/>
      <w:r>
        <w:rPr>
          <w:rFonts w:hint="eastAsia" w:ascii="宋体" w:hAnsi="宋体" w:eastAsia="宋体" w:cs="宋体"/>
          <w:b/>
          <w:color w:val="000000"/>
          <w:sz w:val="24"/>
          <w:szCs w:val="24"/>
          <w:highlight w:val="none"/>
        </w:rPr>
        <w:t xml:space="preserve">二、招标文件</w:t>
      </w:r>
      <w:bookmarkEnd w:id="61"/>
      <w:r/>
      <w:bookmarkEnd w:id="62"/>
      <w:r/>
      <w:bookmarkEnd w:id="63"/>
      <w:r/>
      <w:bookmarkEnd w:id="64"/>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5" w:name="_Toc16938526"/>
      <w:r/>
      <w:bookmarkStart w:id="66" w:name="_Toc20823282"/>
      <w:r/>
      <w:bookmarkStart w:id="67" w:name="_Toc513029210"/>
      <w:r>
        <w:rPr>
          <w:rFonts w:hint="eastAsia" w:ascii="宋体" w:hAnsi="宋体" w:eastAsia="宋体" w:cs="宋体"/>
          <w:color w:val="000000"/>
          <w:sz w:val="24"/>
          <w:szCs w:val="24"/>
          <w:highlight w:val="none"/>
        </w:rPr>
        <w:t xml:space="preserve">6、招标文件构成</w:t>
      </w:r>
      <w:bookmarkEnd w:id="65"/>
      <w:r/>
      <w:bookmarkEnd w:id="66"/>
      <w:r/>
      <w:bookmarkEnd w:id="67"/>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67"/>
        <w:ind w:firstLine="36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67"/>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67"/>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67"/>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67"/>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67"/>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8" w:name="_Toc16938527"/>
      <w:r/>
      <w:bookmarkStart w:id="69" w:name="_Toc462564070"/>
      <w:r/>
      <w:bookmarkStart w:id="70" w:name="_Toc20823283"/>
      <w:r/>
      <w:bookmarkStart w:id="71" w:name="_Toc513029211"/>
      <w:r>
        <w:rPr>
          <w:rFonts w:hint="eastAsia" w:ascii="宋体" w:hAnsi="宋体" w:eastAsia="宋体" w:cs="宋体"/>
          <w:color w:val="000000"/>
          <w:sz w:val="24"/>
          <w:szCs w:val="24"/>
          <w:highlight w:val="none"/>
        </w:rPr>
        <w:t xml:space="preserve">7、招标文件的澄清</w:t>
      </w:r>
      <w:bookmarkEnd w:id="68"/>
      <w:r/>
      <w:bookmarkEnd w:id="69"/>
      <w:r/>
      <w:bookmarkEnd w:id="70"/>
      <w:r/>
      <w:bookmarkEnd w:id="71"/>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2" w:name="_Toc16938528"/>
      <w:r/>
      <w:bookmarkStart w:id="73" w:name="_Toc20823284"/>
      <w:r/>
      <w:bookmarkStart w:id="74" w:name="_Toc462564071"/>
      <w:r/>
      <w:bookmarkStart w:id="75" w:name="_Toc513029212"/>
      <w:r>
        <w:rPr>
          <w:rFonts w:hint="eastAsia" w:ascii="宋体" w:hAnsi="宋体" w:eastAsia="宋体" w:cs="宋体"/>
          <w:color w:val="000000"/>
          <w:sz w:val="24"/>
          <w:szCs w:val="24"/>
          <w:highlight w:val="none"/>
        </w:rPr>
        <w:t xml:space="preserve">8、招标文件的修改</w:t>
      </w:r>
      <w:bookmarkEnd w:id="72"/>
      <w:r/>
      <w:bookmarkEnd w:id="73"/>
      <w:r/>
      <w:bookmarkEnd w:id="74"/>
      <w:r/>
      <w:bookmarkEnd w:id="75"/>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67"/>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76" w:name="_Toc120614216"/>
      <w:r/>
      <w:bookmarkStart w:id="77" w:name="_Toc462564072"/>
      <w:r/>
      <w:bookmarkStart w:id="78" w:name="_Toc16938529"/>
      <w:r/>
      <w:bookmarkStart w:id="79" w:name="_Toc513029213"/>
      <w:r/>
      <w:bookmarkStart w:id="80" w:name="_Toc20823285"/>
      <w:r>
        <w:rPr>
          <w:rFonts w:hint="eastAsia" w:ascii="宋体" w:hAnsi="宋体" w:eastAsia="宋体" w:cs="宋体"/>
          <w:b/>
          <w:color w:val="000000"/>
          <w:sz w:val="24"/>
          <w:szCs w:val="24"/>
          <w:highlight w:val="none"/>
        </w:rPr>
        <w:t xml:space="preserve">三、投标文件的编制</w:t>
      </w:r>
      <w:bookmarkEnd w:id="76"/>
      <w:r/>
      <w:bookmarkEnd w:id="77"/>
      <w:r/>
      <w:bookmarkEnd w:id="78"/>
      <w:r/>
      <w:bookmarkEnd w:id="79"/>
      <w:r/>
      <w:bookmarkEnd w:id="80"/>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1" w:name="_Toc462564073"/>
      <w:r/>
      <w:bookmarkStart w:id="82" w:name="_Toc513029214"/>
      <w:r/>
      <w:bookmarkStart w:id="83" w:name="_Toc20823286"/>
      <w:r/>
      <w:bookmarkStart w:id="84" w:name="_Toc16938530"/>
      <w:r>
        <w:rPr>
          <w:rFonts w:hint="eastAsia" w:ascii="宋体" w:hAnsi="宋体" w:eastAsia="宋体" w:cs="宋体"/>
          <w:color w:val="000000"/>
          <w:sz w:val="24"/>
          <w:szCs w:val="24"/>
          <w:highlight w:val="none"/>
        </w:rPr>
        <w:t xml:space="preserve">9、投标文件的语言及度量衡单位</w:t>
      </w:r>
      <w:bookmarkEnd w:id="81"/>
      <w:r/>
      <w:bookmarkEnd w:id="82"/>
      <w:r/>
      <w:bookmarkEnd w:id="83"/>
      <w:r/>
      <w:bookmarkEnd w:id="84"/>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5" w:name="_Toc20823287"/>
      <w:r/>
      <w:bookmarkStart w:id="86" w:name="_Toc513029215"/>
      <w:r/>
      <w:bookmarkStart w:id="87" w:name="_Toc16938531"/>
      <w:r/>
      <w:bookmarkStart w:id="88" w:name="_Toc462564074"/>
      <w:r>
        <w:rPr>
          <w:rFonts w:hint="eastAsia" w:ascii="宋体" w:hAnsi="宋体" w:eastAsia="宋体" w:cs="宋体"/>
          <w:color w:val="000000"/>
          <w:sz w:val="24"/>
          <w:szCs w:val="24"/>
          <w:highlight w:val="none"/>
        </w:rPr>
        <w:t xml:space="preserve">10、投标文件构成</w:t>
      </w:r>
      <w:bookmarkEnd w:id="85"/>
      <w:r/>
      <w:bookmarkEnd w:id="86"/>
      <w:r/>
      <w:bookmarkEnd w:id="87"/>
      <w:r/>
      <w:bookmarkEnd w:id="88"/>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9" w:name="_Toc14577354"/>
      <w:r/>
      <w:bookmarkStart w:id="90" w:name="_Toc14577357"/>
      <w:r/>
      <w:bookmarkStart w:id="91" w:name="_Toc513029219"/>
      <w:r/>
      <w:bookmarkStart w:id="92" w:name="_Toc513029216"/>
      <w:r/>
      <w:bookmarkStart w:id="93" w:name="_Toc49090507"/>
      <w:r/>
      <w:bookmarkStart w:id="94" w:name="_Toc49090509"/>
      <w:r/>
      <w:bookmarkStart w:id="95" w:name="_Hlt26954838"/>
      <w:r/>
      <w:bookmarkStart w:id="96" w:name="_Hlt26668975"/>
      <w:r/>
      <w:bookmarkStart w:id="97" w:name="_Hlt26670360"/>
      <w:r>
        <w:rPr>
          <w:rFonts w:hint="eastAsia" w:ascii="宋体" w:hAnsi="宋体" w:eastAsia="宋体" w:cs="宋体"/>
          <w:color w:val="000000"/>
          <w:sz w:val="24"/>
          <w:szCs w:val="24"/>
          <w:highlight w:val="none"/>
        </w:rPr>
        <w:t xml:space="preserve">11、证明投标人及投标标的符合招标文件规定的文件</w:t>
      </w:r>
      <w:bookmarkEnd w:id="89"/>
      <w:r/>
      <w:bookmarkEnd w:id="90"/>
      <w:r/>
      <w:bookmarkEnd w:id="91"/>
      <w:r/>
      <w:bookmarkEnd w:id="92"/>
      <w:r/>
      <w:bookmarkEnd w:id="93"/>
      <w:r/>
      <w:bookmarkEnd w:id="94"/>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98" w:name="_Toc14577355"/>
      <w:r/>
      <w:bookmarkStart w:id="99" w:name="_Toc49090508"/>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8"/>
      <w:r/>
      <w:bookmarkEnd w:id="99"/>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100" w:name="_Hlt26670373"/>
      <w:r>
        <w:rPr>
          <w:rFonts w:hint="eastAsia" w:ascii="宋体" w:hAnsi="宋体" w:eastAsia="宋体" w:cs="宋体"/>
          <w:color w:val="000000"/>
          <w:sz w:val="24"/>
          <w:szCs w:val="24"/>
          <w:highlight w:val="none"/>
        </w:rPr>
        <w:t xml:space="preserve">表</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101" w:name="_Hlt26954840"/>
      <w:r>
        <w:rPr>
          <w:rFonts w:hint="eastAsia" w:ascii="宋体" w:hAnsi="宋体" w:eastAsia="宋体" w:cs="宋体"/>
          <w:color w:val="000000"/>
          <w:sz w:val="24"/>
          <w:szCs w:val="24"/>
          <w:highlight w:val="none"/>
        </w:rPr>
        <w:t xml:space="preserve">标人应按照招标文件规定格式填报投标分项报价表</w:t>
      </w:r>
      <w:bookmarkStart w:id="102" w:name="_Hlt26670399"/>
      <w:r>
        <w:rPr>
          <w:rFonts w:hint="eastAsia" w:ascii="宋体" w:hAnsi="宋体" w:eastAsia="宋体" w:cs="宋体"/>
          <w:color w:val="000000"/>
          <w:sz w:val="24"/>
          <w:szCs w:val="24"/>
          <w:highlight w:val="none"/>
        </w:rPr>
        <w:t xml:space="preserve">。</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3" w:name="_Hlt26670403"/>
      <w:r/>
      <w:bookmarkStart w:id="104" w:name="_Hlt26954846"/>
      <w:r/>
      <w:bookmarkStart w:id="105" w:name="_Hlt26954731"/>
      <w:r/>
      <w:bookmarkStart w:id="106" w:name="_Hlt26954848"/>
      <w:r/>
      <w:bookmarkStart w:id="107" w:name="_Hlt26670486"/>
      <w:r/>
      <w:bookmarkStart w:id="108" w:name="_Hlt26670425"/>
      <w:r/>
      <w:bookmarkStart w:id="109" w:name="_Hlt26954842"/>
      <w:r/>
      <w:bookmarkStart w:id="110" w:name="_Hlt26954844"/>
      <w:r/>
      <w:bookmarkStart w:id="111" w:name="_Hlt26670482"/>
      <w:r/>
      <w:bookmarkStart w:id="112" w:name="_Hlt26668983"/>
      <w:r>
        <w:rPr>
          <w:rFonts w:hint="eastAsia" w:ascii="宋体" w:hAnsi="宋体" w:eastAsia="宋体" w:cs="宋体"/>
          <w:color w:val="000000"/>
          <w:sz w:val="24"/>
          <w:szCs w:val="24"/>
          <w:highlight w:val="none"/>
        </w:rPr>
        <w:t xml:space="preserve">13、技术要求响应及偏离表、商务要求响应及偏离表</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67"/>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3" w:name="_Toc49090510"/>
      <w:r/>
      <w:bookmarkStart w:id="114" w:name="_Toc14577359"/>
      <w:r>
        <w:rPr>
          <w:rFonts w:hint="eastAsia" w:ascii="宋体" w:hAnsi="宋体" w:eastAsia="宋体" w:cs="宋体"/>
          <w:color w:val="000000"/>
          <w:sz w:val="24"/>
          <w:szCs w:val="24"/>
          <w:highlight w:val="none"/>
        </w:rPr>
        <w:t xml:space="preserve">14、投标函和开标一览表</w:t>
      </w:r>
      <w:bookmarkEnd w:id="113"/>
      <w:r/>
      <w:bookmarkEnd w:id="114"/>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5" w:name="_Toc14577360"/>
      <w:r/>
      <w:bookmarkStart w:id="116" w:name="_Toc49090511"/>
      <w:r/>
      <w:bookmarkStart w:id="117" w:name="_Hlt26954734"/>
      <w:r/>
      <w:bookmarkStart w:id="118" w:name="_Hlt26954850"/>
      <w:r/>
      <w:bookmarkStart w:id="119" w:name="_Hlt26670489"/>
      <w:r>
        <w:rPr>
          <w:rFonts w:hint="eastAsia" w:ascii="宋体" w:hAnsi="宋体" w:eastAsia="宋体" w:cs="宋体"/>
          <w:color w:val="000000"/>
          <w:sz w:val="24"/>
          <w:szCs w:val="24"/>
          <w:highlight w:val="none"/>
        </w:rPr>
        <w:t xml:space="preserve">15、投标有效期</w:t>
      </w:r>
      <w:bookmarkEnd w:id="115"/>
      <w:r/>
      <w:bookmarkEnd w:id="116"/>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67"/>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20" w:name="_Toc513029224"/>
      <w:r/>
      <w:bookmarkStart w:id="121" w:name="_Toc120614217"/>
      <w:r/>
      <w:bookmarkStart w:id="122" w:name="_Toc20823296"/>
      <w:r/>
      <w:bookmarkStart w:id="123" w:name="_Toc16938540"/>
      <w:r/>
      <w:bookmarkStart w:id="124" w:name="_Hlt26954852"/>
      <w:r/>
      <w:bookmarkStart w:id="125" w:name="_Hlt26954739"/>
      <w:r>
        <w:rPr>
          <w:rFonts w:hint="eastAsia" w:ascii="宋体" w:hAnsi="宋体" w:eastAsia="宋体" w:cs="宋体"/>
          <w:b/>
          <w:color w:val="000000"/>
          <w:sz w:val="24"/>
          <w:szCs w:val="24"/>
          <w:highlight w:val="none"/>
        </w:rPr>
        <w:t xml:space="preserve">四、投标文件的递交</w:t>
      </w:r>
      <w:bookmarkEnd w:id="120"/>
      <w:r/>
      <w:bookmarkEnd w:id="121"/>
      <w:r/>
      <w:bookmarkEnd w:id="122"/>
      <w:r/>
      <w:bookmarkEnd w:id="123"/>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6" w:name="_Toc20823297"/>
      <w:r/>
      <w:bookmarkStart w:id="127" w:name="_Toc16938541"/>
      <w:r/>
      <w:bookmarkStart w:id="128" w:name="_Toc462564084"/>
      <w:r/>
      <w:bookmarkStart w:id="129" w:name="_Toc513029225"/>
      <w:r>
        <w:rPr>
          <w:rFonts w:hint="eastAsia" w:ascii="宋体" w:hAnsi="宋体" w:eastAsia="宋体" w:cs="宋体"/>
          <w:color w:val="000000"/>
          <w:sz w:val="24"/>
          <w:szCs w:val="24"/>
          <w:highlight w:val="none"/>
        </w:rPr>
        <w:t xml:space="preserve">17、投标文件</w:t>
      </w:r>
      <w:bookmarkEnd w:id="126"/>
      <w:r/>
      <w:bookmarkEnd w:id="127"/>
      <w:r/>
      <w:bookmarkEnd w:id="128"/>
      <w:r/>
      <w:bookmarkEnd w:id="129"/>
      <w:r>
        <w:rPr>
          <w:rFonts w:hint="eastAsia" w:ascii="宋体" w:hAnsi="宋体" w:eastAsia="宋体" w:cs="宋体"/>
          <w:color w:val="000000"/>
          <w:sz w:val="24"/>
          <w:szCs w:val="24"/>
          <w:highlight w:val="none"/>
        </w:rPr>
        <w:t xml:space="preserve">的递交</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67"/>
        <w:ind w:left="525"/>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w:t>
      </w:r>
      <w:r/>
    </w:p>
    <w:p>
      <w:pPr>
        <w:pStyle w:val="867"/>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标文件。</w:t>
      </w:r>
      <w:bookmarkStart w:id="130" w:name="_Toc16938542"/>
      <w:r/>
      <w:bookmarkEnd w:id="130"/>
      <w:r/>
      <w:bookmarkStart w:id="131" w:name="_Toc20823298"/>
      <w:r/>
      <w:bookmarkEnd w:id="131"/>
      <w:r/>
      <w:bookmarkStart w:id="132" w:name="_Toc513029226"/>
      <w:r/>
      <w:r/>
    </w:p>
    <w:p>
      <w:pPr>
        <w:pStyle w:val="867"/>
        <w:ind w:firstLine="420"/>
        <w:jc w:val="both"/>
        <w:keepLines/>
        <w:keepNext/>
        <w:pageBreakBefore w:val="0"/>
        <w:spacing w:before="280" w:beforeAutospacing="0" w:after="29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3" w:name="_Toc20823299"/>
      <w:r/>
      <w:bookmarkStart w:id="134" w:name="_Toc513029227"/>
      <w:r/>
      <w:bookmarkStart w:id="135" w:name="_Toc16938543"/>
      <w:r>
        <w:rPr>
          <w:rFonts w:hint="eastAsia" w:ascii="宋体" w:hAnsi="宋体" w:eastAsia="宋体" w:cs="宋体"/>
          <w:color w:val="000000"/>
          <w:sz w:val="24"/>
          <w:szCs w:val="24"/>
          <w:highlight w:val="none"/>
        </w:rPr>
        <w:t xml:space="preserve">19、投标文件</w:t>
      </w:r>
      <w:bookmarkEnd w:id="133"/>
      <w:r/>
      <w:bookmarkEnd w:id="134"/>
      <w:r/>
      <w:bookmarkEnd w:id="135"/>
      <w:r>
        <w:rPr>
          <w:rFonts w:hint="eastAsia" w:ascii="宋体" w:hAnsi="宋体" w:eastAsia="宋体" w:cs="宋体"/>
          <w:color w:val="000000"/>
          <w:sz w:val="24"/>
          <w:szCs w:val="24"/>
          <w:highlight w:val="none"/>
        </w:rPr>
        <w:t xml:space="preserve">的拒收</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6" w:name="_Toc513029228"/>
      <w:r/>
      <w:bookmarkStart w:id="137" w:name="_Toc16938544"/>
      <w:r/>
      <w:bookmarkStart w:id="138" w:name="_Toc20823300"/>
      <w:r>
        <w:rPr>
          <w:rFonts w:hint="eastAsia" w:ascii="宋体" w:hAnsi="宋体" w:eastAsia="宋体" w:cs="宋体"/>
          <w:color w:val="000000"/>
          <w:sz w:val="24"/>
          <w:szCs w:val="24"/>
          <w:highlight w:val="none"/>
        </w:rPr>
        <w:t xml:space="preserve">20、投标文件的撤回和修改</w:t>
      </w:r>
      <w:bookmarkEnd w:id="136"/>
      <w:r/>
      <w:bookmarkEnd w:id="137"/>
      <w:r/>
      <w:bookmarkEnd w:id="138"/>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67"/>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39" w:name="_Toc16938545"/>
      <w:r/>
      <w:bookmarkStart w:id="140" w:name="_Toc513029229"/>
      <w:r/>
      <w:bookmarkStart w:id="141" w:name="_Toc120614218"/>
      <w:r/>
      <w:bookmarkStart w:id="142" w:name="_Toc20823301"/>
      <w:r>
        <w:rPr>
          <w:rFonts w:hint="eastAsia" w:ascii="宋体" w:hAnsi="宋体" w:eastAsia="宋体" w:cs="宋体"/>
          <w:b/>
          <w:color w:val="000000"/>
          <w:sz w:val="24"/>
          <w:szCs w:val="24"/>
          <w:highlight w:val="none"/>
        </w:rPr>
        <w:t xml:space="preserve">五、开标与评标</w:t>
      </w:r>
      <w:bookmarkEnd w:id="139"/>
      <w:r/>
      <w:bookmarkEnd w:id="140"/>
      <w:r/>
      <w:bookmarkEnd w:id="141"/>
      <w:r/>
      <w:bookmarkEnd w:id="142"/>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3" w:name="_Toc20823302"/>
      <w:r/>
      <w:bookmarkStart w:id="144" w:name="_Toc16938546"/>
      <w:r/>
      <w:bookmarkStart w:id="145" w:name="_Toc513029230"/>
      <w:r>
        <w:rPr>
          <w:rFonts w:hint="eastAsia" w:ascii="宋体" w:hAnsi="宋体" w:eastAsia="宋体" w:cs="宋体"/>
          <w:color w:val="auto"/>
          <w:sz w:val="24"/>
          <w:szCs w:val="24"/>
          <w:highlight w:val="none"/>
        </w:rPr>
        <w:t xml:space="preserve">21、开标</w:t>
      </w:r>
      <w:bookmarkEnd w:id="143"/>
      <w:r/>
      <w:bookmarkEnd w:id="144"/>
      <w:r/>
      <w:bookmarkEnd w:id="145"/>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6" w:name="_Toc513029231"/>
      <w:r/>
      <w:bookmarkStart w:id="147" w:name="_Toc16938547"/>
      <w:r/>
      <w:bookmarkStart w:id="148" w:name="_Toc20823303"/>
      <w:r>
        <w:rPr>
          <w:rFonts w:hint="eastAsia" w:ascii="宋体" w:hAnsi="宋体" w:eastAsia="宋体" w:cs="宋体"/>
          <w:color w:val="auto"/>
          <w:sz w:val="24"/>
          <w:szCs w:val="24"/>
          <w:highlight w:val="none"/>
        </w:rPr>
        <w:t xml:space="preserve">22、评标委员会</w:t>
      </w:r>
      <w:bookmarkEnd w:id="146"/>
      <w:r/>
      <w:bookmarkEnd w:id="147"/>
      <w:r/>
      <w:bookmarkEnd w:id="148"/>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22.1开标后，采购中心将立即组织评标委员会（以下简称评委会）进行评标。</w:t>
      </w:r>
      <w:r/>
    </w:p>
    <w:p>
      <w:pPr>
        <w:pStyle w:val="867"/>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67"/>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3采购中心和评标委员会不向未中标的投标人解释未中标原因，也不公布评标过程中的相关细节。</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867"/>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9" w:name="_Toc20823304"/>
      <w:r/>
      <w:bookmarkStart w:id="150" w:name="_Toc16938548"/>
      <w:r/>
      <w:bookmarkStart w:id="151" w:name="_Toc513029232"/>
      <w:r>
        <w:rPr>
          <w:rFonts w:hint="eastAsia" w:ascii="宋体" w:hAnsi="宋体" w:eastAsia="宋体" w:cs="宋体"/>
          <w:color w:val="000000"/>
          <w:sz w:val="24"/>
          <w:szCs w:val="24"/>
          <w:highlight w:val="none"/>
        </w:rPr>
        <w:t xml:space="preserve">24、投标文件的澄清</w:t>
      </w:r>
      <w:bookmarkEnd w:id="149"/>
      <w:r/>
      <w:bookmarkEnd w:id="150"/>
      <w:r/>
      <w:bookmarkEnd w:id="151"/>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67"/>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67"/>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2" w:name="_Toc513029233"/>
      <w:r/>
      <w:bookmarkStart w:id="153" w:name="_Toc16938549"/>
      <w:r/>
      <w:bookmarkStart w:id="154" w:name="_Toc20823305"/>
      <w:r>
        <w:rPr>
          <w:rFonts w:hint="eastAsia" w:ascii="宋体" w:hAnsi="宋体" w:eastAsia="宋体" w:cs="宋体"/>
          <w:color w:val="000000"/>
          <w:sz w:val="24"/>
          <w:szCs w:val="24"/>
          <w:highlight w:val="none"/>
        </w:rPr>
        <w:t xml:space="preserve">25、对投标文件的初审</w:t>
      </w:r>
      <w:bookmarkEnd w:id="152"/>
      <w:r/>
      <w:bookmarkEnd w:id="153"/>
      <w:r/>
      <w:bookmarkEnd w:id="154"/>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7"/>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5" w:name="_Toc16938550"/>
      <w:r/>
      <w:bookmarkStart w:id="156" w:name="_Toc513029234"/>
      <w:r/>
      <w:bookmarkStart w:id="157"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5"/>
      <w:r/>
      <w:bookmarkEnd w:id="156"/>
      <w:r/>
      <w:bookmarkEnd w:id="157"/>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8" w:name="_Toc16938551"/>
      <w:r/>
      <w:bookmarkStart w:id="159" w:name="_Toc513029235"/>
      <w:r/>
      <w:bookmarkStart w:id="160" w:name="_Toc20823307"/>
      <w:r>
        <w:rPr>
          <w:rFonts w:hint="eastAsia" w:ascii="宋体" w:hAnsi="宋体" w:eastAsia="宋体" w:cs="宋体"/>
          <w:color w:val="auto"/>
          <w:sz w:val="24"/>
          <w:szCs w:val="24"/>
          <w:highlight w:val="none"/>
        </w:rPr>
        <w:t xml:space="preserve">26.1无效投标条款</w:t>
      </w:r>
      <w:bookmarkEnd w:id="158"/>
      <w:r/>
      <w:bookmarkEnd w:id="159"/>
      <w:r/>
      <w:bookmarkEnd w:id="160"/>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 的，即投标报价&lt;采购项目预算×50%；</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 的，即投标报价&lt;采购项目最高限价×45%；</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7"/>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w:t>
      </w:r>
      <w:r/>
    </w:p>
    <w:p>
      <w:pPr>
        <w:pStyle w:val="867"/>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家的。</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w:t>
      </w:r>
      <w:r/>
    </w:p>
    <w:p>
      <w:pPr>
        <w:pStyle w:val="867"/>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67"/>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7"/>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61" w:name="_Toc120614219"/>
      <w:r>
        <w:rPr>
          <w:rFonts w:hint="eastAsia" w:ascii="宋体" w:hAnsi="宋体" w:eastAsia="宋体" w:cs="宋体"/>
          <w:b/>
          <w:color w:val="000000"/>
          <w:sz w:val="24"/>
          <w:szCs w:val="24"/>
          <w:highlight w:val="none"/>
        </w:rPr>
        <w:t xml:space="preserve">六、定标</w:t>
      </w:r>
      <w:bookmarkEnd w:id="161"/>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2" w:name="_Toc20823310"/>
      <w:r/>
      <w:bookmarkStart w:id="163" w:name="_Toc16938554"/>
      <w:r/>
      <w:bookmarkStart w:id="164" w:name="_Toc513029238"/>
      <w:r>
        <w:rPr>
          <w:rFonts w:hint="eastAsia" w:ascii="宋体" w:hAnsi="宋体" w:eastAsia="宋体" w:cs="宋体"/>
          <w:color w:val="000000"/>
          <w:sz w:val="24"/>
          <w:szCs w:val="24"/>
          <w:highlight w:val="none"/>
        </w:rPr>
        <w:t xml:space="preserve">27、</w:t>
      </w:r>
      <w:bookmarkEnd w:id="162"/>
      <w:r>
        <w:rPr>
          <w:rFonts w:hint="eastAsia" w:ascii="宋体" w:hAnsi="宋体" w:eastAsia="宋体" w:cs="宋体"/>
          <w:color w:val="000000"/>
          <w:sz w:val="24"/>
          <w:szCs w:val="24"/>
          <w:highlight w:val="none"/>
        </w:rPr>
        <w:t xml:space="preserve">确定</w:t>
      </w:r>
      <w:bookmarkEnd w:id="163"/>
      <w:r/>
      <w:bookmarkEnd w:id="164"/>
      <w:r>
        <w:rPr>
          <w:rFonts w:hint="eastAsia" w:ascii="宋体" w:hAnsi="宋体" w:eastAsia="宋体" w:cs="宋体"/>
          <w:color w:val="000000"/>
          <w:sz w:val="24"/>
          <w:szCs w:val="24"/>
          <w:highlight w:val="none"/>
        </w:rPr>
        <w:t xml:space="preserve">中标单位</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65" w:name="_Toc200451960"/>
      <w:r>
        <w:rPr>
          <w:rFonts w:hint="eastAsia" w:ascii="宋体" w:hAnsi="宋体" w:eastAsia="宋体" w:cs="宋体"/>
          <w:color w:val="000000"/>
          <w:sz w:val="24"/>
          <w:szCs w:val="24"/>
          <w:highlight w:val="none"/>
        </w:rPr>
        <w:t xml:space="preserve">27.5 有下列情形之一的，视为投标人串通投标，投标无效：</w:t>
      </w:r>
      <w:bookmarkEnd w:id="165"/>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67"/>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7"/>
        <w:ind w:firstLine="48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供应商对除上述事项以外其他事项的询问、质疑请向采购中心提出，由采购中心负责答复。</w:t>
      </w:r>
      <w:r/>
    </w:p>
    <w:p>
      <w:pPr>
        <w:ind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67"/>
        <w:ind w:firstLine="46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7"/>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67"/>
        <w:ind w:firstLine="60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7"/>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67"/>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66" w:name="_Toc513029236"/>
      <w:r/>
      <w:bookmarkStart w:id="167" w:name="_Toc20823308"/>
      <w:r/>
      <w:bookmarkStart w:id="168" w:name="_Toc16938552"/>
      <w:r/>
      <w:bookmarkStart w:id="169" w:name="_Toc120614220"/>
      <w:r>
        <w:rPr>
          <w:rFonts w:hint="eastAsia" w:ascii="宋体" w:hAnsi="宋体" w:eastAsia="宋体" w:cs="宋体"/>
          <w:b/>
          <w:color w:val="000000"/>
          <w:sz w:val="24"/>
          <w:szCs w:val="24"/>
          <w:highlight w:val="none"/>
        </w:rPr>
        <w:t xml:space="preserve">七、授予合同</w:t>
      </w:r>
      <w:bookmarkEnd w:id="166"/>
      <w:r/>
      <w:bookmarkEnd w:id="167"/>
      <w:r/>
      <w:bookmarkEnd w:id="168"/>
      <w:r/>
      <w:bookmarkEnd w:id="169"/>
      <w:r/>
      <w:r/>
    </w:p>
    <w:p>
      <w:pPr>
        <w:pStyle w:val="867"/>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70" w:name="_Toc16938553"/>
      <w:r/>
      <w:bookmarkStart w:id="171" w:name="_Toc20823309"/>
      <w:r/>
      <w:bookmarkStart w:id="172" w:name="_Toc513029237"/>
      <w:r>
        <w:rPr>
          <w:rFonts w:hint="eastAsia" w:ascii="宋体" w:hAnsi="宋体" w:eastAsia="宋体" w:cs="宋体"/>
          <w:color w:val="000000"/>
          <w:sz w:val="24"/>
          <w:szCs w:val="24"/>
          <w:highlight w:val="none"/>
        </w:rPr>
        <w:t xml:space="preserve">30.签订合同</w:t>
      </w:r>
      <w:bookmarkEnd w:id="170"/>
      <w:r/>
      <w:bookmarkEnd w:id="171"/>
      <w:r/>
      <w:bookmarkEnd w:id="172"/>
      <w:r/>
      <w:r/>
    </w:p>
    <w:p>
      <w:pPr>
        <w:pStyle w:val="867"/>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67"/>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67"/>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7"/>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67"/>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7"/>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67"/>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67"/>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67"/>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6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br w:type="page" w:clear="all"/>
      </w:r>
      <w:r/>
    </w:p>
    <w:p>
      <w:pPr>
        <w:pStyle w:val="867"/>
        <w:jc w:val="center"/>
        <w:keepLines w:val="0"/>
        <w:keepNext w:val="0"/>
        <w:pageBreakBefore w:val="0"/>
        <w:spacing w:beforeAutospacing="0" w:afterAutospacing="0" w:line="360" w:lineRule="auto"/>
        <w:widowControl w:val="off"/>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867"/>
        <w:ind w:firstLine="480"/>
        <w:jc w:val="both"/>
        <w:keepLines w:val="0"/>
        <w:keepNext w:val="0"/>
        <w:pageBreakBefore w:val="0"/>
        <w:spacing w:beforeAutospacing="0" w:afterAutospacing="0" w:line="360" w:lineRule="auto"/>
        <w:widowControl w:val="off"/>
        <w:rPr>
          <w:sz w:val="24"/>
          <w:szCs w:val="24"/>
          <w:highlight w:val="none"/>
        </w:rPr>
      </w:pPr>
      <w:r/>
      <w:bookmarkStart w:id="173" w:name="_Toc20823315"/>
      <w:r/>
      <w:bookmarkStart w:id="174" w:name="_Toc16938559"/>
      <w:r/>
      <w:bookmarkStart w:id="175"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3"/>
      <w:r/>
      <w:bookmarkEnd w:id="174"/>
      <w:r/>
      <w:bookmarkEnd w:id="175"/>
      <w:r/>
      <w:r/>
    </w:p>
    <w:p>
      <w:pPr>
        <w:pStyle w:val="867"/>
        <w:jc w:val="center"/>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auto"/>
          <w:sz w:val="24"/>
          <w:szCs w:val="24"/>
          <w:highlight w:val="none"/>
          <w:lang w:eastAsia="zh-CN"/>
        </w:rPr>
        <w:t xml:space="preserve">盐城市智慧住建综合管理平台（城市体检与更新子系统）</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甲、乙双方根据盐城市政府采购中心</w:t>
      </w:r>
      <w:r>
        <w:rPr>
          <w:rFonts w:hint="eastAsia" w:ascii="宋体" w:hAnsi="宋体" w:eastAsia="宋体" w:cs="宋体"/>
          <w:color w:val="auto"/>
          <w:sz w:val="24"/>
          <w:szCs w:val="24"/>
          <w:highlight w:val="none"/>
          <w:u w:val="single"/>
          <w:lang w:eastAsia="zh-CN"/>
        </w:rPr>
        <w:t xml:space="preserve">盐城市智慧住建综合管理平台（城市体检与更新子系统）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67"/>
        <w:ind w:left="0" w:firstLine="172"/>
        <w:jc w:val="both"/>
        <w:keepLines w:val="0"/>
        <w:keepNext w:val="0"/>
        <w:pageBreakBefore w:val="0"/>
        <w:spacing w:beforeAutospacing="0" w:afterAutospacing="0" w:line="500" w:lineRule="exact"/>
        <w:widowControl w:val="off"/>
        <w:rPr>
          <w:rFonts w:hint="default"/>
          <w:sz w:val="24"/>
          <w:szCs w:val="24"/>
          <w:highlight w:val="none"/>
          <w:lang w:val="en-US"/>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auto"/>
          <w:sz w:val="24"/>
          <w:szCs w:val="24"/>
          <w:highlight w:val="none"/>
          <w:u w:val="single"/>
          <w:lang w:eastAsia="zh-CN"/>
        </w:rPr>
        <w:t xml:space="preserve">盐城市智慧住建综合管理平台（城市体检与更新子系统）</w:t>
      </w:r>
      <w:r>
        <w:rPr>
          <w:rFonts w:hint="eastAsia" w:ascii="宋体" w:hAnsi="宋体" w:eastAsia="宋体" w:cs="宋体"/>
          <w:color w:val="auto"/>
          <w:sz w:val="24"/>
          <w:szCs w:val="24"/>
          <w:highlight w:val="none"/>
          <w:u w:val="single"/>
          <w:lang w:val="en-US" w:eastAsia="zh-CN"/>
        </w:rPr>
        <w:t xml:space="preserve">项目</w:t>
      </w:r>
      <w:r/>
    </w:p>
    <w:p>
      <w:pPr>
        <w:pStyle w:val="867"/>
        <w:ind w:left="0" w:firstLine="172"/>
        <w:jc w:val="both"/>
        <w:keepLines w:val="0"/>
        <w:keepNext w:val="0"/>
        <w:pageBreakBefore w:val="0"/>
        <w:spacing w:beforeAutospacing="0" w:afterAutospacing="0" w:line="500" w:lineRule="exact"/>
        <w:widowControl w:val="off"/>
        <w:rPr>
          <w:rFonts w:hint="eastAsia" w:eastAsia="宋体"/>
          <w:sz w:val="24"/>
          <w:szCs w:val="24"/>
          <w:highlight w:val="none"/>
          <w:lang w:val="en-US" w:eastAsia="zh-CN"/>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val="en-US" w:eastAsia="zh-CN"/>
        </w:rPr>
        <w:t xml:space="preserve">合格</w:t>
      </w:r>
      <w:r/>
    </w:p>
    <w:p>
      <w:pPr>
        <w:pStyle w:val="867"/>
        <w:ind w:left="0" w:firstLine="172"/>
        <w:jc w:val="both"/>
        <w:keepLines w:val="0"/>
        <w:keepNext w:val="0"/>
        <w:pageBreakBefore w:val="0"/>
        <w:spacing w:beforeAutospacing="0" w:afterAutospacing="0" w:line="500" w:lineRule="exact"/>
        <w:widowControl w:val="off"/>
        <w:rPr>
          <w:rFonts w:hint="eastAsia" w:eastAsia="宋体"/>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1</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auto"/>
          <w:sz w:val="24"/>
          <w:szCs w:val="28"/>
          <w:highlight w:val="none"/>
        </w:rPr>
        <w:t xml:space="preserve">自合同签订之日起</w:t>
      </w:r>
      <w:r>
        <w:rPr>
          <w:rFonts w:hint="eastAsia" w:ascii="宋体" w:hAnsi="宋体" w:eastAsia="宋体" w:cs="宋体"/>
          <w:color w:val="auto"/>
          <w:sz w:val="24"/>
          <w:szCs w:val="28"/>
          <w:highlight w:val="none"/>
          <w:lang w:val="en-US" w:eastAsia="zh-CN"/>
        </w:rPr>
        <w:t xml:space="preserve">120天</w:t>
      </w:r>
      <w:r>
        <w:rPr>
          <w:rFonts w:hint="eastAsia" w:ascii="宋体" w:hAnsi="宋体" w:eastAsia="宋体" w:cs="宋体"/>
          <w:color w:val="auto"/>
          <w:sz w:val="24"/>
          <w:szCs w:val="28"/>
          <w:highlight w:val="none"/>
        </w:rPr>
        <w:t xml:space="preserve">内完成所有软件系统的开发、安装部署、测试等工作，完成初验并进入试运行阶段，试运行3个月后系统最终验收</w:t>
      </w:r>
      <w:r>
        <w:rPr>
          <w:rFonts w:hint="eastAsia" w:ascii="宋体" w:hAnsi="宋体" w:eastAsia="宋体" w:cs="宋体"/>
          <w:color w:val="auto"/>
          <w:sz w:val="24"/>
          <w:szCs w:val="24"/>
          <w:highlight w:val="none"/>
        </w:rPr>
        <w:t xml:space="preserve">，本项目软件免费运维服务期为验收合格后</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w:t>
      </w:r>
      <w:r/>
    </w:p>
    <w:p>
      <w:pPr>
        <w:pStyle w:val="867"/>
        <w:ind w:left="0" w:firstLine="172"/>
        <w:jc w:val="both"/>
        <w:keepLines w:val="0"/>
        <w:keepNext w:val="0"/>
        <w:pageBreakBefore w:val="0"/>
        <w:spacing w:beforeAutospacing="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盐城市解放南路150号</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2.1本合同金额为（大写）：____________________________________圆（_______________元）人民币或其他币种。</w:t>
      </w:r>
      <w:r/>
    </w:p>
    <w:p>
      <w:pPr>
        <w:pStyle w:val="867"/>
        <w:ind w:left="0" w:firstLine="173"/>
        <w:jc w:val="both"/>
        <w:keepLines w:val="0"/>
        <w:keepNext w:val="0"/>
        <w:pageBreakBefore w:val="0"/>
        <w:spacing w:beforeAutospacing="0" w:afterAutospacing="0" w:line="500" w:lineRule="exact"/>
        <w:widowControl w:val="off"/>
        <w:rPr>
          <w:rFonts w:hint="eastAsia" w:eastAsia="宋体"/>
          <w:sz w:val="24"/>
          <w:szCs w:val="24"/>
          <w:highlight w:val="none"/>
          <w:lang w:val="en-US" w:eastAsia="zh-CN"/>
        </w:rPr>
      </w:pPr>
      <w:r>
        <w:rPr>
          <w:rFonts w:hint="eastAsia" w:ascii="宋体" w:hAnsi="宋体" w:eastAsia="宋体" w:cs="宋体"/>
          <w:b/>
          <w:color w:val="000000"/>
          <w:sz w:val="24"/>
          <w:szCs w:val="24"/>
          <w:highlight w:val="none"/>
        </w:rPr>
        <w:t xml:space="preserve">三、技术资料</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条文、规格、计划、图纸、样品或资料提供给与履行本合同无关的任何其他人。即使向履行本合同有关的人员提供，也应注意保密并限于履行合同的必需范围。</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cs="宋体"/>
          <w:b/>
          <w:sz w:val="24"/>
          <w:highlight w:val="none"/>
          <w:lang w:val="en-US" w:eastAsia="zh-CN"/>
        </w:rPr>
        <w:t xml:space="preserve">六、</w:t>
      </w:r>
      <w:r>
        <w:rPr>
          <w:rFonts w:hint="eastAsia" w:ascii="宋体" w:hAnsi="宋体" w:eastAsia="宋体" w:cs="宋体"/>
          <w:b/>
          <w:color w:val="000000"/>
          <w:sz w:val="24"/>
          <w:szCs w:val="24"/>
          <w:highlight w:val="none"/>
        </w:rPr>
        <w:t xml:space="preserve">履约保证金</w:t>
      </w:r>
      <w:r/>
    </w:p>
    <w:p>
      <w:pPr>
        <w:pStyle w:val="867"/>
        <w:ind w:left="0" w:firstLine="172"/>
        <w:jc w:val="both"/>
        <w:keepLines w:val="0"/>
        <w:keepNext w:val="0"/>
        <w:pageBreakBefore w:val="0"/>
        <w:spacing w:beforeAutospacing="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.1乙方交纳</w:t>
      </w:r>
      <w:r>
        <w:rPr>
          <w:rFonts w:hint="eastAsia" w:ascii="宋体" w:hAnsi="宋体" w:eastAsia="宋体" w:cs="宋体"/>
          <w:sz w:val="24"/>
          <w:highlight w:val="none"/>
          <w:lang w:eastAsia="zh-CN"/>
        </w:rPr>
        <w:t xml:space="preserve">合同</w:t>
      </w:r>
      <w:r>
        <w:rPr>
          <w:rFonts w:hint="eastAsia" w:ascii="宋体" w:hAnsi="宋体" w:cs="宋体"/>
          <w:sz w:val="24"/>
          <w:highlight w:val="none"/>
        </w:rPr>
        <w:t xml:space="preserve">价的10%作为本合同的履约保证金</w:t>
      </w:r>
      <w:r>
        <w:rPr>
          <w:rFonts w:hint="eastAsia" w:ascii="宋体" w:hAnsi="宋体" w:eastAsia="宋体" w:cs="宋体"/>
          <w:color w:val="000000"/>
          <w:sz w:val="24"/>
          <w:szCs w:val="24"/>
          <w:highlight w:val="none"/>
        </w:rPr>
        <w:t xml:space="preserve">。</w:t>
      </w:r>
      <w:r>
        <w:rPr>
          <w:rFonts w:hint="eastAsia" w:ascii="宋体" w:hAnsi="宋体" w:cs="宋体"/>
          <w:sz w:val="24"/>
          <w:highlight w:val="none"/>
        </w:rPr>
        <w:t xml:space="preserve">履约保证金用以约束成交供应商在合同履行中的行为，弥补合同执行中由于自身行为可能给采购人带来的各种损失。对AA评级及以上政府采购供应商（需提供信用管理部门备案的第三方信用报告，且信用报告概述页等内容通过“信用盐城”网站可查实），免收履约保证金。</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67"/>
        <w:ind w:left="0" w:firstLine="172"/>
        <w:jc w:val="both"/>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left="0" w:firstLine="172"/>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、合同转包或分包</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.1乙方不得将合同标的转包给他人履行。</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.2乙方不得将合同标的分包给他人履行。</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.3乙方如有转包或未经甲方同意的分包行为，甲方有权解除合同。</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、合同款项支付</w:t>
      </w:r>
      <w:r/>
    </w:p>
    <w:p>
      <w:pPr>
        <w:ind w:left="0" w:firstLine="172"/>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8.1</w:t>
      </w:r>
      <w:r>
        <w:rPr>
          <w:rFonts w:hint="eastAsia" w:ascii="宋体" w:hAnsi="宋体" w:eastAsia="宋体" w:cs="宋体"/>
          <w:b w:val="0"/>
          <w:bCs w:val="0"/>
          <w:color w:val="auto"/>
          <w:sz w:val="24"/>
          <w:szCs w:val="24"/>
          <w:highlight w:val="none"/>
        </w:rPr>
        <w:t xml:space="preserve">合同签订生效后，</w:t>
      </w:r>
      <w:r>
        <w:rPr>
          <w:rFonts w:hint="eastAsia" w:ascii="宋体" w:hAnsi="宋体" w:eastAsia="宋体" w:cs="宋体"/>
          <w:b w:val="0"/>
          <w:bCs w:val="0"/>
          <w:color w:val="auto"/>
          <w:sz w:val="24"/>
          <w:szCs w:val="24"/>
          <w:highlight w:val="none"/>
          <w:lang w:val="en-US" w:eastAsia="zh-CN"/>
        </w:rPr>
        <w:t xml:space="preserve">甲方在收到增值税发票后10</w:t>
      </w:r>
      <w:r>
        <w:rPr>
          <w:rFonts w:hint="eastAsia" w:ascii="宋体" w:hAnsi="宋体" w:eastAsia="宋体" w:cs="宋体"/>
          <w:b w:val="0"/>
          <w:bCs w:val="0"/>
          <w:color w:val="auto"/>
          <w:sz w:val="24"/>
          <w:szCs w:val="24"/>
          <w:highlight w:val="none"/>
        </w:rPr>
        <w:t xml:space="preserve">个工作日内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甲方支付合同总价的</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w:t>
      </w:r>
      <w:r>
        <w:rPr>
          <w:rFonts w:hint="eastAsia" w:ascii="宋体" w:hAnsi="宋体" w:eastAsia="宋体" w:cs="宋体"/>
          <w:b w:val="0"/>
          <w:bCs w:val="0"/>
          <w:color w:val="auto"/>
          <w:sz w:val="24"/>
          <w:szCs w:val="24"/>
          <w:highlight w:val="none"/>
          <w:lang w:val="en-US" w:eastAsia="zh-CN"/>
        </w:rPr>
        <w:t xml:space="preserve">作为预付款</w:t>
      </w:r>
      <w:r>
        <w:rPr>
          <w:rFonts w:hint="eastAsia" w:ascii="宋体" w:hAnsi="宋体" w:eastAsia="宋体" w:cs="宋体"/>
          <w:b w:val="0"/>
          <w:bCs w:val="0"/>
          <w:color w:val="auto"/>
          <w:sz w:val="24"/>
          <w:szCs w:val="24"/>
          <w:highlight w:val="none"/>
        </w:rPr>
        <w:t xml:space="preserve">。</w:t>
      </w:r>
      <w:r/>
    </w:p>
    <w:p>
      <w:pPr>
        <w:ind w:left="0" w:firstLine="172"/>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8.2</w:t>
      </w:r>
      <w:r>
        <w:rPr>
          <w:rFonts w:hint="eastAsia" w:ascii="宋体" w:hAnsi="宋体" w:eastAsia="宋体" w:cs="宋体"/>
          <w:b w:val="0"/>
          <w:bCs w:val="0"/>
          <w:color w:val="auto"/>
          <w:sz w:val="24"/>
          <w:szCs w:val="24"/>
          <w:highlight w:val="none"/>
          <w:lang w:eastAsia="zh-CN"/>
        </w:rPr>
        <w:t xml:space="preserve">完成</w:t>
      </w:r>
      <w:r>
        <w:rPr>
          <w:rFonts w:hint="eastAsia" w:ascii="宋体" w:hAnsi="宋体" w:eastAsia="宋体" w:cs="宋体"/>
          <w:color w:val="auto"/>
          <w:sz w:val="24"/>
          <w:szCs w:val="24"/>
          <w:highlight w:val="none"/>
        </w:rPr>
        <w:t xml:space="preserve">城市体检</w:t>
      </w:r>
      <w:r>
        <w:rPr>
          <w:rFonts w:hint="eastAsia" w:ascii="宋体" w:hAnsi="宋体" w:eastAsia="宋体" w:cs="宋体"/>
          <w:color w:val="auto"/>
          <w:sz w:val="24"/>
          <w:szCs w:val="24"/>
          <w:highlight w:val="none"/>
          <w:lang w:eastAsia="zh-CN"/>
        </w:rPr>
        <w:t xml:space="preserve">子系统</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城市</w:t>
      </w:r>
      <w:r>
        <w:rPr>
          <w:rFonts w:hint="eastAsia" w:ascii="宋体" w:hAnsi="宋体" w:eastAsia="宋体" w:cs="宋体"/>
          <w:color w:val="auto"/>
          <w:sz w:val="24"/>
          <w:szCs w:val="24"/>
          <w:highlight w:val="none"/>
        </w:rPr>
        <w:t xml:space="preserve">更新项目信息管理系统</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系统开发、部署，</w:t>
      </w:r>
      <w:r>
        <w:rPr>
          <w:rFonts w:hint="eastAsia" w:ascii="宋体" w:hAnsi="宋体" w:cs="宋体"/>
          <w:bCs/>
          <w:color w:val="auto"/>
          <w:sz w:val="24"/>
          <w:highlight w:val="none"/>
        </w:rPr>
        <w:t xml:space="preserve">试运行</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个月</w:t>
      </w:r>
      <w:r>
        <w:rPr>
          <w:rFonts w:hint="eastAsia" w:ascii="宋体" w:hAnsi="宋体" w:eastAsia="宋体" w:cs="宋体"/>
          <w:b w:val="0"/>
          <w:bCs w:val="0"/>
          <w:color w:val="auto"/>
          <w:sz w:val="24"/>
          <w:szCs w:val="24"/>
          <w:highlight w:val="none"/>
        </w:rPr>
        <w:t xml:space="preserve">并通过甲方组织的验收</w:t>
      </w:r>
      <w:r>
        <w:rPr>
          <w:rFonts w:hint="eastAsia" w:ascii="宋体" w:hAnsi="宋体" w:eastAsia="宋体" w:cs="宋体"/>
          <w:b w:val="0"/>
          <w:bCs w:val="0"/>
          <w:color w:val="auto"/>
          <w:sz w:val="24"/>
          <w:szCs w:val="24"/>
          <w:highlight w:val="none"/>
          <w:lang w:val="en-US" w:eastAsia="zh-CN"/>
        </w:rPr>
        <w:t xml:space="preserve">合格</w:t>
      </w:r>
      <w:r>
        <w:rPr>
          <w:rFonts w:hint="eastAsia" w:ascii="宋体" w:hAnsi="宋体" w:eastAsia="宋体" w:cs="宋体"/>
          <w:b w:val="0"/>
          <w:bCs w:val="0"/>
          <w:color w:val="auto"/>
          <w:sz w:val="24"/>
          <w:szCs w:val="24"/>
          <w:highlight w:val="none"/>
          <w:lang w:eastAsia="zh-CN"/>
        </w:rPr>
        <w:t xml:space="preserve">后</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甲方在收到发票后10</w:t>
      </w:r>
      <w:r>
        <w:rPr>
          <w:rFonts w:hint="eastAsia" w:ascii="宋体" w:hAnsi="宋体" w:eastAsia="宋体" w:cs="宋体"/>
          <w:b w:val="0"/>
          <w:bCs w:val="0"/>
          <w:color w:val="auto"/>
          <w:sz w:val="24"/>
          <w:szCs w:val="24"/>
          <w:highlight w:val="none"/>
        </w:rPr>
        <w:t xml:space="preserve">个工作日内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付</w:t>
      </w:r>
      <w:r>
        <w:rPr>
          <w:rFonts w:hint="eastAsia" w:ascii="宋体" w:hAnsi="宋体" w:eastAsia="宋体" w:cs="宋体"/>
          <w:b w:val="0"/>
          <w:bCs w:val="0"/>
          <w:color w:val="auto"/>
          <w:sz w:val="24"/>
          <w:szCs w:val="24"/>
          <w:highlight w:val="none"/>
          <w:lang w:val="en-US" w:eastAsia="zh-CN"/>
        </w:rPr>
        <w:t xml:space="preserve">至</w:t>
      </w:r>
      <w:r>
        <w:rPr>
          <w:rFonts w:hint="eastAsia" w:ascii="宋体" w:hAnsi="宋体" w:eastAsia="宋体" w:cs="宋体"/>
          <w:b w:val="0"/>
          <w:bCs w:val="0"/>
          <w:color w:val="auto"/>
          <w:sz w:val="24"/>
          <w:szCs w:val="24"/>
          <w:highlight w:val="none"/>
        </w:rPr>
        <w:t xml:space="preserve">合同总价的</w:t>
      </w:r>
      <w:r>
        <w:rPr>
          <w:rFonts w:hint="eastAsia" w:ascii="宋体" w:hAnsi="宋体" w:eastAsia="宋体" w:cs="宋体"/>
          <w:b w:val="0"/>
          <w:bCs w:val="0"/>
          <w:color w:val="auto"/>
          <w:sz w:val="24"/>
          <w:szCs w:val="24"/>
          <w:highlight w:val="none"/>
          <w:lang w:val="en-US" w:eastAsia="zh-CN"/>
        </w:rPr>
        <w:t xml:space="preserve">90%</w:t>
      </w:r>
      <w:r>
        <w:rPr>
          <w:rFonts w:hint="eastAsia" w:ascii="宋体" w:hAnsi="宋体" w:cs="宋体"/>
          <w:bCs/>
          <w:color w:val="auto"/>
          <w:sz w:val="24"/>
          <w:highlight w:val="none"/>
        </w:rPr>
        <w:t xml:space="preserve">；</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highlight w:val="none"/>
          <w:lang w:val="en-US" w:eastAsia="zh-CN"/>
        </w:rPr>
        <w:t xml:space="preserve">8.3</w:t>
      </w:r>
      <w:r>
        <w:rPr>
          <w:rFonts w:hint="eastAsia" w:ascii="宋体" w:hAnsi="宋体" w:cs="宋体"/>
          <w:bCs/>
          <w:color w:val="auto"/>
          <w:sz w:val="24"/>
          <w:highlight w:val="none"/>
        </w:rPr>
        <w:t xml:space="preserve">余款待项目维护期满后1个月</w:t>
      </w:r>
      <w:r>
        <w:rPr>
          <w:rFonts w:hint="eastAsia" w:ascii="宋体" w:hAnsi="宋体" w:eastAsia="宋体" w:cs="宋体"/>
          <w:bCs/>
          <w:color w:val="auto"/>
          <w:sz w:val="24"/>
          <w:highlight w:val="none"/>
          <w:lang w:eastAsia="zh-CN"/>
        </w:rPr>
        <w:t xml:space="preserve">，</w:t>
      </w:r>
      <w:r>
        <w:rPr>
          <w:rFonts w:hint="eastAsia" w:ascii="宋体" w:hAnsi="宋体" w:cs="宋体"/>
          <w:b w:val="0"/>
          <w:bCs w:val="0"/>
          <w:color w:val="auto"/>
          <w:sz w:val="24"/>
          <w:szCs w:val="24"/>
          <w:highlight w:val="none"/>
          <w:lang w:val="en-US" w:eastAsia="zh-CN"/>
        </w:rPr>
        <w:t xml:space="preserve">甲方在收到发票后10</w:t>
      </w:r>
      <w:r>
        <w:rPr>
          <w:rFonts w:hint="eastAsia" w:ascii="宋体" w:hAnsi="宋体" w:eastAsia="宋体" w:cs="宋体"/>
          <w:b w:val="0"/>
          <w:bCs w:val="0"/>
          <w:color w:val="auto"/>
          <w:sz w:val="24"/>
          <w:szCs w:val="24"/>
          <w:highlight w:val="none"/>
        </w:rPr>
        <w:t xml:space="preserve">个工作日内，甲方</w:t>
      </w:r>
      <w:r>
        <w:rPr>
          <w:rFonts w:hint="eastAsia" w:ascii="宋体" w:hAnsi="宋体" w:eastAsia="宋体" w:cs="宋体"/>
          <w:b w:val="0"/>
          <w:bCs w:val="0"/>
          <w:color w:val="auto"/>
          <w:sz w:val="24"/>
          <w:szCs w:val="24"/>
          <w:highlight w:val="none"/>
          <w:u w:val="none"/>
        </w:rPr>
        <w:t xml:space="preserve">付清货款</w:t>
      </w:r>
      <w:r>
        <w:rPr>
          <w:rFonts w:hint="eastAsia" w:ascii="宋体" w:hAnsi="宋体" w:cs="宋体"/>
          <w:bCs/>
          <w:color w:val="auto"/>
          <w:sz w:val="24"/>
          <w:highlight w:val="none"/>
        </w:rPr>
        <w:t xml:space="preserve">。</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、税费</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.1本合同执行中相关的一切税费均由乙方负担。</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.1甲方依法组织履约验收工作。</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.2甲方在组织履约验收前，将根据项目特点制定验收方案，明确履约验收的</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时间、方式、程序等内容，并可根据项目特点对服务期内的服务实施情况进行分期考核，综合考核情况和服务效果进行验收。乙方应根据验收方案内容做好相应配合工作。</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.3对于实际使用人和甲方分离的项目，甲方邀请实际使用人参与验收。</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.4如有必要，甲方邀请参加本项目的其他供应商或第三方专业机构及专家参</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与验收，相关意见将作为验收书的参考资料。</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.5甲方成立验收小组，按照采购合同的约定对乙方的履约情况进行验收。验</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、违约责任</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.1甲方无正当理由拒绝接受乙方提供服务的，甲方向乙方偿付拒绝接受服务</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合同价款总值</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.2甲方无故逾期验收和办理合同款项支付手续的,甲方应按逾期付款总额</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0.5%</w:t>
      </w:r>
      <w:r>
        <w:rPr>
          <w:rFonts w:hint="eastAsia" w:ascii="宋体" w:hAnsi="宋体" w:eastAsia="宋体" w:cs="宋体"/>
          <w:color w:val="000000"/>
          <w:sz w:val="24"/>
          <w:szCs w:val="24"/>
          <w:highlight w:val="none"/>
        </w:rPr>
        <w:t xml:space="preserve">每日向乙方支付违约金。</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.3乙方逾期提供服务的，乙方应按逾期提供服务合同总额每日千分之六向甲</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.4乙方所提供服务的标准不符合合同规定及招标文件规定标准的，甲方有权</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拒绝接受服务，并可单方面解除合同。</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、不可抗力事件处理</w:t>
      </w:r>
      <w:r/>
    </w:p>
    <w:p>
      <w:pPr>
        <w:pStyle w:val="867"/>
        <w:ind w:left="0" w:firstLine="1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.1在合同有效期内，任何一方因不可抗力事件导致不能履行合同，则合同履</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行期可延长，其延长期与不可抗力影响期相同。</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、解决争议的方法</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867"/>
        <w:ind w:left="0" w:firstLine="173"/>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867"/>
        <w:ind w:left="0" w:firstLine="17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本合同正本一式两份，具有同等法律效力，甲方、乙方各执一份。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甲方：               乙方：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               地址：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法定代表人或授权代表：       法定代表人或授权代表：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             联系电话：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                                                       签订日期：    年    月   日</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867"/>
        <w:ind w:left="0" w:firstLine="172"/>
        <w:jc w:val="center"/>
        <w:keepLines w:val="0"/>
        <w:keepNext w:val="0"/>
        <w:pageBreakBefore w:val="0"/>
        <w:spacing w:beforeAutospacing="0" w:afterAutospacing="0" w:line="500" w:lineRule="exact"/>
        <w:widowControl w:val="off"/>
        <w:rPr>
          <w:highlight w:val="none"/>
        </w:rPr>
      </w:pPr>
      <w:r/>
      <w:bookmarkStart w:id="176" w:name="_Toc479757211"/>
      <w:r/>
      <w:bookmarkStart w:id="177" w:name="_Toc120614244"/>
      <w:r/>
      <w:bookmarkStart w:id="178" w:name="_Toc20823346"/>
      <w:r/>
      <w:bookmarkStart w:id="179" w:name="_Toc16938590"/>
      <w:r/>
      <w:bookmarkStart w:id="180" w:name="_Hlt16619350"/>
      <w:r/>
      <w:bookmarkStart w:id="181" w:name="_Toc462564139"/>
      <w:r/>
      <w:bookmarkStart w:id="182"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第</w:t>
      </w:r>
      <w:bookmarkEnd w:id="176"/>
      <w:r>
        <w:rPr>
          <w:rFonts w:hint="eastAsia" w:ascii="黑体" w:hAnsi="宋体" w:eastAsia="黑体" w:cs="黑体"/>
          <w:color w:val="000000"/>
          <w:sz w:val="44"/>
          <w:szCs w:val="44"/>
          <w:highlight w:val="none"/>
        </w:rPr>
        <w:t xml:space="preserve">四章 采购需求</w:t>
      </w:r>
      <w:bookmarkEnd w:id="177"/>
      <w:r/>
      <w:bookmarkEnd w:id="178"/>
      <w:r/>
      <w:bookmarkEnd w:id="179"/>
      <w:r/>
      <w:bookmarkEnd w:id="180"/>
      <w:r/>
      <w:bookmarkEnd w:id="181"/>
      <w:r/>
      <w:r/>
    </w:p>
    <w:p>
      <w:pPr>
        <w:pStyle w:val="86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83" w:name="_Toc26554093"/>
      <w:r/>
      <w:bookmarkStart w:id="184" w:name="_Toc49090575"/>
      <w:r>
        <w:rPr>
          <w:rFonts w:hint="eastAsia" w:ascii="宋体" w:hAnsi="宋体" w:eastAsia="宋体" w:cs="宋体"/>
          <w:color w:val="000000"/>
          <w:sz w:val="24"/>
          <w:szCs w:val="24"/>
          <w:highlight w:val="none"/>
        </w:rPr>
        <w:t xml:space="preserve">项目属性:服务类项目。</w:t>
      </w:r>
      <w:bookmarkEnd w:id="183"/>
      <w:r/>
      <w:bookmarkEnd w:id="184"/>
      <w:r/>
      <w:r/>
    </w:p>
    <w:p>
      <w:pPr>
        <w:ind w:firstLine="562"/>
        <w:jc w:val="left"/>
        <w:keepLines w:val="0"/>
        <w:keepNext w:val="0"/>
        <w:pageBreakBefore w:val="0"/>
        <w:spacing w:line="360" w:lineRule="auto"/>
        <w:widowControl/>
        <w:rPr>
          <w:rFonts w:hint="eastAsia" w:ascii="宋体" w:hAnsi="宋体" w:eastAsia="宋体" w:cs="宋体"/>
          <w:b/>
          <w:bCs w:val="0"/>
          <w:color w:val="auto"/>
          <w:sz w:val="28"/>
          <w:szCs w:val="28"/>
          <w:highlight w:val="none"/>
          <w:lang w:bidi="ar"/>
        </w:rPr>
      </w:pPr>
      <w:r>
        <w:rPr>
          <w:rFonts w:hint="eastAsia" w:ascii="宋体" w:hAnsi="宋体" w:eastAsia="宋体" w:cs="宋体"/>
          <w:b/>
          <w:bCs w:val="0"/>
          <w:color w:val="auto"/>
          <w:sz w:val="28"/>
          <w:szCs w:val="28"/>
          <w:highlight w:val="none"/>
          <w:lang w:bidi="ar"/>
        </w:rPr>
        <w:t xml:space="preserve">一、项目内容 </w:t>
      </w:r>
      <w:r/>
    </w:p>
    <w:p>
      <w:pPr>
        <w:pStyle w:val="879"/>
        <w:ind w:left="0" w:firstLine="480"/>
        <w:pageBreakBefore w:val="0"/>
        <w:spacing w:line="360" w:lineRule="auto"/>
        <w:widowControl w:val="off"/>
        <w:rPr>
          <w:rFonts w:hint="eastAsia" w:ascii="宋体" w:hAnsi="宋体" w:eastAsia="宋体" w:cs="宋体"/>
          <w:color w:val="auto"/>
          <w:sz w:val="24"/>
          <w:szCs w:val="24"/>
          <w:highlight w:val="none"/>
        </w:rPr>
      </w:pPr>
      <w:r/>
      <w:bookmarkStart w:id="185" w:name="_Toc16422"/>
      <w:r>
        <w:rPr>
          <w:rFonts w:hint="eastAsia" w:ascii="宋体" w:hAnsi="宋体" w:eastAsia="宋体" w:cs="宋体"/>
          <w:color w:val="auto"/>
          <w:sz w:val="24"/>
          <w:szCs w:val="24"/>
          <w:highlight w:val="none"/>
        </w:rPr>
        <w:t xml:space="preserve">以城市体检数据库为基础，建设城市体检和更新项目信息管理系统，发挥信息平台在调研数据分析、指标监测评估等方面的作用，应实现在体检信息管理平台对体检指标可持续对比分析、问题整治情况动态监测，以“精准诊断、动态治理、全民共治”为目标，通过GIS一张图整合多源数据、指标智能分析、多端协同交互、城市更新项目库管理等功能，构建起一个全面、直观且精准的城市体检与更新信息平台，为一体化推动城市体检和城市更新智慧化管理提供基础支撑。</w:t>
      </w:r>
      <w:bookmarkEnd w:id="185"/>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641"/>
        <w:gridCol w:w="786"/>
        <w:gridCol w:w="1681"/>
        <w:gridCol w:w="1685"/>
      </w:tblGrid>
      <w:tr>
        <w:trPr>
          <w:trHeight w:val="697" w:hRule="exact"/>
        </w:trPr>
        <w:tc>
          <w:tcPr>
            <w:tcW w:w="729"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bookmarkStart w:id="186" w:name="_Toc25436"/>
            <w:r>
              <w:rPr>
                <w:rFonts w:hint="eastAsia" w:ascii="宋体" w:hAnsi="宋体" w:eastAsia="宋体" w:cs="宋体"/>
                <w:b w:val="0"/>
                <w:bCs w:val="0"/>
                <w:color w:val="auto"/>
                <w:sz w:val="24"/>
                <w:szCs w:val="24"/>
                <w:highlight w:val="none"/>
                <w:vertAlign w:val="baseline"/>
                <w:lang w:val="en-US" w:eastAsia="zh-CN"/>
              </w:rPr>
              <w:t xml:space="preserve">序号</w:t>
            </w:r>
            <w:r/>
          </w:p>
        </w:tc>
        <w:tc>
          <w:tcPr>
            <w:tcW w:w="3641"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名称</w:t>
            </w:r>
            <w:r/>
          </w:p>
        </w:tc>
        <w:tc>
          <w:tcPr>
            <w:tcW w:w="786"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数量</w:t>
            </w:r>
            <w:r/>
          </w:p>
        </w:tc>
        <w:tc>
          <w:tcPr>
            <w:tcW w:w="1681"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最高限价（元）</w:t>
            </w:r>
            <w:r/>
          </w:p>
        </w:tc>
        <w:tc>
          <w:tcPr>
            <w:tcW w:w="168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是否接受进口</w:t>
            </w:r>
            <w:r/>
          </w:p>
        </w:tc>
      </w:tr>
      <w:tr>
        <w:trPr>
          <w:trHeight w:val="1057" w:hRule="exact"/>
        </w:trPr>
        <w:tc>
          <w:tcPr>
            <w:tcW w:w="729"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3641"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eastAsia="zh-CN"/>
              </w:rPr>
              <w:t xml:space="preserve">盐城市智慧住建综合管理平台（城市体检与更新子系统）项目</w:t>
            </w:r>
            <w:r/>
          </w:p>
        </w:tc>
        <w:tc>
          <w:tcPr>
            <w:tcW w:w="786"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1681"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490000.00</w:t>
            </w:r>
            <w:r/>
          </w:p>
        </w:tc>
        <w:tc>
          <w:tcPr>
            <w:tcW w:w="168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否</w:t>
            </w:r>
            <w:bookmarkEnd w:id="186"/>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 </w:t>
      </w:r>
      <w:bookmarkStart w:id="187" w:name="_Toc30694"/>
      <w:r>
        <w:rPr>
          <w:rFonts w:hint="eastAsia" w:ascii="宋体" w:hAnsi="宋体" w:eastAsia="宋体" w:cs="宋体"/>
          <w:b/>
          <w:bCs/>
          <w:color w:val="auto"/>
          <w:sz w:val="24"/>
          <w:szCs w:val="24"/>
          <w:highlight w:val="none"/>
          <w:lang w:val="en-US" w:eastAsia="zh-CN"/>
        </w:rPr>
        <w:t xml:space="preserve">二、项目</w:t>
      </w:r>
      <w:bookmarkEnd w:id="187"/>
      <w:r>
        <w:rPr>
          <w:rFonts w:hint="eastAsia" w:ascii="宋体" w:hAnsi="宋体" w:eastAsia="宋体" w:cs="宋体"/>
          <w:b/>
          <w:bCs/>
          <w:color w:val="auto"/>
          <w:sz w:val="24"/>
          <w:szCs w:val="24"/>
          <w:highlight w:val="none"/>
          <w:lang w:val="en-US" w:eastAsia="zh-CN"/>
        </w:rPr>
        <w:t xml:space="preserve">背景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本项目为实现盐城市城市体检结果的科学应用和城市更新计划的有序制定，将依托“智慧住建”平台，建设城市体检与更新子系统。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w:t>
      </w:r>
      <w:r>
        <w:rPr>
          <w:rFonts w:hint="eastAsia" w:ascii="宋体" w:hAnsi="宋体" w:eastAsia="宋体" w:cs="宋体"/>
          <w:color w:val="auto"/>
          <w:sz w:val="24"/>
          <w:szCs w:val="24"/>
          <w:highlight w:val="none"/>
          <w:lang w:val="en-US" w:eastAsia="zh-CN"/>
        </w:rPr>
        <w:t xml:space="preserve">3年11月住建部部署全面开展城市体检工作，并提出加强体检信息平台建设要求，“智慧住建”平台开发时城市体检工作尚未部署，未能将相关内容纳入平台建设内容，此次城市体检与更新的建设，将填补“智慧住建”平台在该领域的空缺。同时，项目旨在通过整合城市体检数据，对城市的发展状况进行全面、深入地分析，从而精准地识别出城市存在的问题和短板。这些问题和短板可能涉及城市规划、基础设施建设、生态环境保护、公共服务设施等多个方面。通过城市体检，可以为城市更新提供科学依据和决策支持，确保更新工作能够有针对性地解决城市发展的实际问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还致力于推动城市更新计划的有序制定。基于城市体检的结果，平台可以协助相关部门科学规划城市更新的重点区域、主要任务和实施步骤，确保更新工作能够按照既定的目标和时间表有序推进。这不仅有助于提高城市更新的效率和质量，还能够避免更新过程中的盲目性和随意性，确保城市更新的可持续发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此外，城市体检与更新子系统的建设还旨在促进政府、企业和社会各界的共同参与和协作。通过平台的信息共享和交流机制，可以加强各方之间的沟通和合作，形成合力推动城市体检与更新工作的深入开展。这有助于提升城市治理的现代化水平，推动城市的高质量发展。</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三、建设目标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盐城市智慧住建综合管理平台（城市体检与更新子系统）项目以城市体检数据库为基础，建设城市体检和更新信息系统，系统以“体检引领更新、数据驱动治理”为建设要求，通过GIS一张图整合多源数据、指标智能分析、多端协同交互、城市更新项目库管理等功能，最终达成“问题诊断精准化、更新任务项目化、实施监督全过程、治理成效可感知”的建设目标。</w:t>
      </w:r>
      <w:r/>
    </w:p>
    <w:p>
      <w:pPr>
        <w:ind w:firstLine="482"/>
        <w:keepLines w:val="0"/>
        <w:keepNext w:val="0"/>
        <w:pageBreakBefore w:val="0"/>
        <w:spacing w:line="360" w:lineRule="auto"/>
        <w:rPr>
          <w:rFonts w:hint="eastAsia" w:ascii="宋体" w:hAnsi="宋体" w:eastAsia="宋体" w:cs="宋体"/>
          <w:b/>
          <w:bCs/>
          <w:i w:val="0"/>
          <w:iCs w:val="0"/>
          <w:color w:val="auto"/>
          <w:sz w:val="24"/>
          <w:szCs w:val="24"/>
          <w:highlight w:val="none"/>
          <w:u w:val="none"/>
          <w:lang w:val="en-US" w:eastAsia="zh-CN" w:bidi="ar"/>
        </w:rPr>
      </w:pPr>
      <w:r/>
      <w:bookmarkStart w:id="188" w:name="_Toc27285"/>
      <w:r>
        <w:rPr>
          <w:rFonts w:hint="eastAsia" w:ascii="宋体" w:hAnsi="宋体" w:eastAsia="宋体" w:cs="宋体"/>
          <w:b/>
          <w:bCs/>
          <w:i w:val="0"/>
          <w:iCs w:val="0"/>
          <w:color w:val="auto"/>
          <w:sz w:val="24"/>
          <w:szCs w:val="24"/>
          <w:highlight w:val="none"/>
          <w:u w:val="none"/>
          <w:lang w:val="en-US" w:eastAsia="zh-CN" w:bidi="ar"/>
        </w:rPr>
        <w:t xml:space="preserve">四、总体方案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供应商应提供本项目的总体方案：至少包括城市体检与更新系统需求分析、城市体检与更新系统技术路线、城市体检与更新系统架构设计、城市体检与更新系统安全体系建设等。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（一）城市体检与更新系统需求分析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与政务职能相关的社会问题和政务目标分析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智慧住建（城市体检与更新子系统）项目用户包括牵头主管部门、相关市级行业主管部门、区政府、街道办事处、社区管委会/物业、专业单位。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89" w:name="_Toc14877"/>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牵头主管部门</w:t>
      </w:r>
      <w:bookmarkEnd w:id="189"/>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统筹推进城市体检工作，制定工作方案，研判城市体检工作中遇到的重大问题，协调各行业主管部门，指导各区、街道（镇）政府组织开展工作；负责遴选第三方专业团队，推进体检成果编制；加强督导调度，持续跟踪成果转化工作进度，定期向市政府汇报进展情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0" w:name="_Toc11231"/>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相关市级行业主管部门</w:t>
      </w:r>
      <w:bookmarkEnd w:id="190"/>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负责提供本行业的政务数据，指导区级有关部门报送行业体检数据，结合行业工作计划，针对城市体检提出的问题清单与整治建议清单，制定整改方案、列出整改计划，推动各类问题不断改善。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1" w:name="_Toc5668"/>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区政府</w:t>
      </w:r>
      <w:bookmarkEnd w:id="191"/>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市级城市体检工作主管部门的指导下，联动第三方专业团队，通过平台统筹本区内住房、小区（社区）、街区维度城市体检工作，根据市级行业主管部门的相关工作要求、工作安排或整改措施，督促区相关部门、街道、社区积极推进治理辖区内的城市问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2" w:name="_Toc23914"/>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街道办事处</w:t>
      </w:r>
      <w:bookmarkEnd w:id="192"/>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配合第三方专业团队开展街区维度的体检工作，在城市体检平台或移动端汇集提交相关指标数据，按照城市体检工作要求落实整改建议、制定整改措施；指导及参与住房、小区（社区）维度城市体检工作。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3" w:name="_Toc26445"/>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社区居委会/物业</w:t>
      </w:r>
      <w:bookmarkEnd w:id="193"/>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配合第三方专业团队开展住房、小区（社区）维度的体检工作，汇集并提交相关指标数据，按照主管部门及街道办事处要求落实整改建议、制定整改措施。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4" w:name="_Toc5301"/>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专业单位</w:t>
      </w:r>
      <w:bookmarkEnd w:id="194"/>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自来水公司、电力公司、燃气公司、供暖公司等专业单位对所负责的体检指标进行数据采集，并针对存在问题进行整改。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5" w:name="_Toc11447"/>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第三方体检服务人员</w:t>
      </w:r>
      <w:bookmarkEnd w:id="195"/>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负责体检服务的第三方人员，进行体检的规划、指标制定、体检分析、体检结果的查看和管理、体检问题和整治计划的输出。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6" w:name="_Toc16305"/>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业务功能、业务流程和业务量分析</w:t>
      </w:r>
      <w:bookmarkEnd w:id="196"/>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7" w:name="_Toc694"/>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业务功能</w:t>
      </w:r>
      <w:bookmarkEnd w:id="197"/>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2.1.1</w:t>
      </w:r>
      <w:r>
        <w:rPr>
          <w:rFonts w:hint="eastAsia" w:ascii="宋体" w:hAnsi="宋体" w:eastAsia="宋体" w:cs="宋体"/>
          <w:sz w:val="24"/>
          <w:szCs w:val="24"/>
          <w:highlight w:val="none"/>
        </w:rPr>
        <w:t xml:space="preserve">用户分析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本项目主要用户包括公众用户和主管部门用户等。具体包括以下内容：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公众用户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本项目的公众用户主要指问卷调查、日常住户等。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主管部门用户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本项目的主管部门用户主要包括住建局相关主管部门。主管部门用户可以根据操作权限以及岗位设置情况可以进行数据调阅统计等操作。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2.1.2</w:t>
      </w:r>
      <w:r>
        <w:rPr>
          <w:rFonts w:hint="eastAsia" w:ascii="宋体" w:hAnsi="宋体" w:eastAsia="宋体" w:cs="宋体"/>
          <w:sz w:val="24"/>
          <w:szCs w:val="24"/>
          <w:highlight w:val="none"/>
        </w:rPr>
        <w:t xml:space="preserve">业务功能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城市体检情况摸底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基于信息化手段，对城市教育养老资源、楼道安全隐患、垃圾分类等城市基础问题进行大摸底，清晰了解到城市整体体检情况，便于各部门各机构的业务针对性开展。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城市问题调研汇总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打通与城市住户间的最后一公里，以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我的盐城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调查问卷等方式汇总城市发展痛点，便于有关部门机构根据优先级针对性解决问题。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城市更新项目管理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基于整个城市的体检数据汇总，从宏观角度构建城市体检指标，并进一步细化后下达有针对性的更新措施和项目，确保城市体检工作的有效性和针对性，推动城市的高质量发展‌。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8" w:name="_Toc24313"/>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业务流程</w:t>
      </w:r>
      <w:bookmarkEnd w:id="198"/>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900045" cy="4398010"/>
                <wp:effectExtent l="0" t="0" r="5080" b="254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39263" name="图片 3"/>
                        <pic:cNvPicPr>
                          <a:picLocks noChangeAspect="1"/>
                        </pic:cNvPicPr>
                        <pic:nvPr/>
                      </pic:nvPicPr>
                      <pic:blipFill>
                        <a:blip r:embed="rId12"/>
                        <a:stretch/>
                      </pic:blipFill>
                      <pic:spPr bwMode="auto">
                        <a:xfrm>
                          <a:off x="0" y="0"/>
                          <a:ext cx="2900045" cy="4398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8.3pt;height:346.3pt;mso-wrap-distance-left:0.0pt;mso-wrap-distance-top:0.0pt;mso-wrap-distance-right:0.0pt;mso-wrap-distance-bottom:0.0pt;" stroked="f">
                <v:path textboxrect="0,0,0,0"/>
                <v:imagedata r:id="rId12" o:title=""/>
              </v:shape>
            </w:pict>
          </mc:Fallback>
        </mc:AlternateConten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图：业务流程图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99" w:name="_Toc20137"/>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业务处理量</w:t>
      </w:r>
      <w:bookmarkEnd w:id="199"/>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目前智慧住建（城市体检与更新子系统）项目业务量主要涉及两个方面，一是城市体检数据采集业务，</w:t>
      </w:r>
      <w:r>
        <w:rPr>
          <w:rFonts w:hint="eastAsia" w:ascii="宋体" w:hAnsi="宋体" w:eastAsia="宋体" w:cs="宋体"/>
          <w:sz w:val="24"/>
          <w:szCs w:val="24"/>
          <w:highlight w:val="none"/>
          <w:lang w:eastAsia="zh-CN"/>
        </w:rPr>
        <w:t xml:space="preserve">实现与相关系统的数据共享和现有系统的数据赋能；</w:t>
      </w:r>
      <w:r>
        <w:rPr>
          <w:rFonts w:hint="eastAsia" w:ascii="宋体" w:hAnsi="宋体" w:eastAsia="宋体" w:cs="宋体"/>
          <w:sz w:val="24"/>
          <w:szCs w:val="24"/>
          <w:highlight w:val="none"/>
        </w:rPr>
        <w:t xml:space="preserve">另一方面是更新项目管理业务。系统上线后，可实现各项数据汇总分析，满足“广汇总，精准办”的政务要求。通过预测系统用量为5000人，同时在线操作极限约为200人/次。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（二）城市体检与更新系统技术路线</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系统采用Java 语言开发，Java语言具有卓越的通用性、高效性、平台移植性，其生态和开源技术有更多的支持，基于JAVA开发，可利用主流的 Spring Boot、Spring MVC、SpringSecurity、SpringData、Activiti、Vue、uni-app、D3等技术组合的前后端分离的开发模式，并及时拥抱云计算、大数据、微服务等新技术及按照国产化适配能力，满足房地产行业新业务发展的要求。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端主要采用MVVM框架，选择尤为重要。目前Vue.js、AngularJS、React是三大主流前端框架。三者各有优缺点，根据最近的发展势头及社区活跃程度，经过分析比较，本系统选用Vue作为前端MVVM框架，组件库选用ElementUI。</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移动端采用可多平台发布的uni-app做为移动端开发架构，uni-app是基于Vue.js开发的国产移动端开发框架。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架构主要采用政务云专有云平台做为微服务开发一站式解决方案，聚焦于系统功能和数据资产的服务化，对外提供服务资产输出。降低系统的复杂度和耦合度，提升组件的内聚性、敏捷性，降低后续信息化投资成本、缩短建设周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分布式微服务架构技术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平台是一个业务应用多、业务交叉复杂、数据供应链紧密衔接的业务系统。当垂直应用越来越多，应用之间交互不可避免，将核心业务抽取出来，作为独立的服务，逐渐形成稳定的服务中心，使前端应用能更快速的响应多变的市场需求。此时，用于提高业务复用及整合的分布式服务框架（RPC）是关键。因此整个平台的架构应采用分布式服务架构技术，以微服务的架构运行，减少业务代码和功能重复，方便系统平滑扩展、热部署升级、优雅维护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使用微服务设计是降低系统耦合性的一个重要手段。微服务设计模式通过接口分解系统耦合性，不同子系统通过相同的接口描述进行服务调用。利用微服务的整合可以打造可复用的业务平台。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通过采用微服务架构，聚焦于支持系统功能和数据资产的服务化，对外提供服务资产输出。降低系统的复杂度和耦合度，提升组件的内聚性、敏捷性，降低后续信息化投资成本、缩短建设周期。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RESTful风格的Web API</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微服务的生态下，互通性应该是需要重点关注的因素，没有互通，不但服务的访问者和用户无法很好地使用这些微服务，微服务和微服务之间也无法相互信赖和互助，这将大大损耗微服务研发体系带来的诸多好处。本项目以互通性作为核心因素进行技术选型，基于SpringBoot构建一套开放、互通、稳定的RESTful风格的Web API微服务体系。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云计算应用技术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云计算技术能够实现随时随地、便捷地、随需应变地从可配置计算资源共享池中获取所需的资源（例如网络、服务器、存储、应用及服务等），具有按需付费、弹性伸缩、可靠性高等特点，是架设供需衔接的“桥梁”设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（三）城市体检与更新系统架构设计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基础层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基础层是平台建设的最底层，包括计算资源、存储资源、网络系统、安全设备等。通过全面的基础设置的搭建，为整体应用系统的全面建设良好的基础。</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数据层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数据层是整体项目的数据资源的保障，本次项目建设要求实现数据全流程监管，信息共享，所以对于数据层的有效设计规划对于本次项目的建设有着重要的作用。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从整体结构上划分，我们将本次项目建设数据资源分为基础的结构型资源和非结构型资源，对于非结构型资源我们将通过基础内容管理平台进行有效的管理维护。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应用层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用层是整体应用系统建设的业务保障，根据平台建设需求进行了相关应用功能设计，面向城市体检与城市更新业务提供全方位支撑，应用层的建设是整体架构设计的核心部分，其关系到本次项目的顺利搭建以及今后城市体检与城市更新业务信息化的发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展示层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展示层是整个系统与外部交互的途径，包括数据的采集输入、结果输出。展示层将通过PC端和移动端两方面来实现交互，其中PC端又可细分为管理端、应用端、数据大屏。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（四）城市体检与更新系统安全体系建设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安全运维保障体系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运维保障体系是信息共享、高效工作和可靠运行的重要支撑。本平台建设项目的安全运维保障体系包括安全策略、安全技术、安全管理、安全标准和安全组织等方面，是由安全服务、协议层次和系统单元等三个层面构成的立体结构，并且在每个层面上都包含相应的安全管理内容。安全运维保障体系利用各种信息安全技术，确保信息在其产生、存储、传递和处理各个过程的安全、完整、可用和抗抵赖，切实保障系统的安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安全体系的建设，综合考虑信息网络的各种实体和各个环节，确定系统的安全目标与策略，在各个层次合理地使用物理安全、网络安全、系统安全、应用安全、管理安全、容灾与可用性等方面的</w:t>
      </w:r>
      <w:r>
        <w:rPr>
          <w:rFonts w:hint="eastAsia" w:ascii="宋体" w:hAnsi="宋体" w:eastAsia="宋体" w:cs="宋体"/>
          <w:sz w:val="24"/>
          <w:szCs w:val="24"/>
          <w:highlight w:val="none"/>
        </w:rPr>
        <w:t xml:space="preserve">安全技术手段，制订安全标准规范体系，建立安全管理保障体系，构筑系统安全服务支持体系，实现完整的安全体系结构，满足“全网安全”的要求。建立和不断完善本平台建设项目的运行维护管理体系，是推动应用、发挥效益和持续发展所必需的。按照“以业务和用户为中心”的原则，从组织机构、人力配备和管理制度等方面建立运行维护管理体系，处理好各级技术部门、业务部门和管理部门的职能划分和工作协调，为用户提供技术支持。运行维护管理体系综合应用各种管理工具完成对各种设备、系统资源、应用系统、数据和用户进行有效的管理，保障系统运行的稳定性。</w:t>
      </w:r>
      <w:bookmarkEnd w:id="188"/>
      <w:r/>
      <w:r/>
    </w:p>
    <w:p>
      <w:pPr>
        <w:ind w:left="0" w:firstLine="562"/>
        <w:jc w:val="both"/>
        <w:keepLines w:val="0"/>
        <w:keepNext w:val="0"/>
        <w:pageBreakBefore w:val="0"/>
        <w:spacing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五、建设内容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盐城市智慧住建综合管理平台（城市体检与更新子系统）项目以城市体检数据库为基础，建设城市体检信息管理子系统和城市更新项目库管理子系统，发挥信息平台在数据分析、监测评估等方面的作用，实现体检指标可持续对比分析、问题整治情况动态监测、城市更新成效定期评估、城市更新项目库管理等功能，为城市规划、建设、管理提供基础支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从一线调研人员、普通群众、街道社区管理人员、市管理员等不同角色，协同共享平台主要包括PC端和移动端H5。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 </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城市体检</w:t>
      </w:r>
      <w:r>
        <w:rPr>
          <w:rFonts w:hint="eastAsia" w:asciiTheme="minorEastAsia" w:hAnsiTheme="minorEastAsia" w:cstheme="minorEastAsia"/>
          <w:i w:val="0"/>
          <w:iCs w:val="0"/>
          <w:color w:val="auto"/>
          <w:sz w:val="24"/>
          <w:szCs w:val="24"/>
          <w:highlight w:val="none"/>
          <w:u w:val="none"/>
          <w:lang w:val="en-US" w:eastAsia="zh-CN" w:bidi="ar"/>
        </w:rPr>
        <w:t xml:space="preserve">子</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系统业务设计方案</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 主要任务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构建集体检项管理、任务调度、结果管理于一体的核心业务平台，并通过多维度的统计分析与数据看板，动态呈现体检进度、问卷结果与问题分布，为管理决策提供直观依据。实现对城市体检工作的全流程数字化管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2.建设城市体检数据资源体系： 整合汇聚多维度体检数据，构建标准统一、可持续更新的城市体检数据库，为分析研判提供数据支撑。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3.建设城市体检GIS地理信息体系： 基于地理信息系统，实现体检结果、问题分布、聚集态势等在空间上的可视化落图与分析，做到“以图管体检、以图助决策”。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4.建设体检任务与现场调研移动应用体系：为外业调研人员提供移动端工具，支持任务接收、定位打卡、指标查看、数据填报、照片上传、问卷填写等功能，确保现场数据采集的实时性与真实性。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 具体任务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1.城市体检GIS一张图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市体检一张图实现年度城市体检结果数据的全景可视，明确指标结果、问题分布、空间定位，形成城市体检的一本明细账。通过城检一张图可查看城市体检的各类成果数据，为“智慧城市”框架打下坚实的数据基础，为城市更新的储备项目决策提供准确完整、清晰可见的数据支撑，实现城市体检数据资产的实时掌握。集总览大屏、指标分析为一体的展示模块，通过地图交互展示整个城市体检的相关成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（1）总览大屏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展示分年度城市体检工作的进度情况、空间覆盖情况、总体参与人员、指标体系等统计数据。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（2）指标分析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呈现住房维度、小区（社区）维度、街区维度、城区维度的指标结果，以可视化的形式查看每个指标的体检结果面板及区域排行。在GIS一张图上进行空间分析功能，利用GIS的空间分析能力对城市进行多维度的“体检诊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2.城市体检PC端用户后台管理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（1）工作台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通过设立常用业务功能的快捷跳转，为管理人员和调研人员提供最方便地处理业务的功能入口。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城市体检调研的基础数据，提供体检进度查看、体检数据质量、问题率的可视化呈现各区域问题聚集态势，为精准治理提供方向实现调研现状的快速掌握。主要功能包括：填报数据质量预警、问题率查看、行政区问题统计排行、体检进度跟踪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（2）体检项管理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体检项管理模块以满足体检工作全流程数字化管理需求为核心，支持体检批次管理、体检指标管理、体检统计模式、体检基本信息管理、体检范围管理及体检任务管理的一体化智慧运作。通过该模块，系统可实现批次设定与范围配置联动、指标体系按需构建、任务精准下发与执行跟踪，将管理员、执行人员与各体检维度有机串联，实现体检流程标准化与任务协同的高效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a.体检批次管理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支持管理员灵活配置体检批次，为每个批次设定独立的执行周期与状态。对于当前生效的体检批次，可精准设定其体检范围，明确本次体检工作覆盖的区域边界，确保体检工作的针对性与有效性。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b.体检指标管理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按需精细化配置体检指标。系统将体检指标划分为城区、街区、小区、住房四个核心维度，每个指标维度下均可构建独立的指标体系，每个指标体系下可进一步配置具体的、可量化的指标项，实现指标的多层级、标准化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c.体检范围配置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构建城市体检年度支持进行体检区域的配置。系统允许管理员自定义添加需要纳入体检的社区和小区的下辖楼栋，实现体检范围从宏观区域到微观楼栋的逐级细化，确保体检范围无遗漏、精准到户。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d.体检任务管理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构建体检任务管理模块，用流程化的任务管理机制建立边检边查的工作流程。支持创建具体的体检任务并下发给指定的执行人员。体检任务与维度紧密关联，具体分为街区体检、社区体检、住房体检、专项体检任务类型。支持通过预设模板快速创建任务，实现任务的批量生成与一键下发，提升任务分配效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（3）体检结果管理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体检结果管理是集体检结果导入、体检进度、现场调研记录、体检台账、维度指标调研表为一体的管理模块。该模块构建了从数据采集、过程监控到问题归集的完整数据闭环，确保体检结果可追溯、进度可查、问题可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a.体检结果导入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支持用户便捷导入历史体检结果数据并进行统一管理。系统提供标准化的数据模板，支持通过模板完成批量体检结果的快速、准确导入，便于数据的积累与对比分析。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b.体检进度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以可视化图表与列表形式，实时查看街区、社区、住房三个维度的体检任务完成进度。系统动态更新各区域的不同状态，如已检、待检状态，为管理者提供全局工作视角，助力资源调度与进度督导。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c.现场调研记录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系统以结构化列表的形式集中管理所有现场调研记录的属性信息，核心属性包括填报人、填报时间、经纬度坐标、具体地址等。支持点击查看每一条填报记录的完整详情，确保现场信息真实、可溯源。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d.体检台账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支持将住房维度填报记录中标识为“存在问题”的数据，按预设规则定时自动生成体检台账。同时，提供手动触发机制，用户可点击“生成台账”按钮立即发起台账生成任务，实现问题住房的快速识别与汇总。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e.维度指标调研表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支持用户查看维度指标调研表支持用户按需查看不同维度的指标调研表，调研表清晰展示各项指标的设定标准与调研要求，为现场核查与数据填报提供统一的依据和规范。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（4）问卷调查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民意反馈也是城市体检的重要数据来源，问卷调查模块充分收集民意调查结果和意见反馈，是集问卷配置、反馈记录、问卷统计为一体的综合问卷调查管理模块，实现了从问卷设计、数据收集到智能分析的全过程线上化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a.问卷配置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问卷配置支持管理员根据不同的调研目的与问卷要求，灵活创建和编辑问卷。问卷可关联不同的体检维度，并可根据维度特性灵活配置具体的问题、题型和答案选项。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b.问卷填报记录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列表形式集中查看所有用户对问卷的填写结果，通过列表查看区域信息、填报人、提交时间等基础信息。列表操作功能有查看、删除，列表清晰展示每条记录的核心信息，方便管理者快速浏览和检索原始的填报数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c.问卷统计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基于所有问卷填报记录，自动进行用户画像分析和填报结果的多维度分析。在问卷统计列表中，系统将各问卷问题按指标统计结果进行分类展示，并直观展示每个问题项下不同答案的调查结果占比，为决策提供数据支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（5）整治建议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依托问题结果构建整治建议功能模块，支持用户在查看或审核体检结果后，针对性地录入整治建议与措施。为提升操作效率，支持通过标准模板批量导入整治建议，同时也支持将已有建议批量导出，便于线下汇总与汇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（6）体检报告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按照系统预设的标准化模板，自动将分散在各个模块的体检结果、统计结论与整治建议进行汇总，并整合生成结构完整、内容规范的体检报告。支持用户在线查看报告详情，并支持将报告导出为通用文件格式，确保体检成果可归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8）系统管理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a.用户管理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为满足不同权限系统用户的管理需求，设置系统用户管理功能，可用于新增、编辑、删除后台用户，设置时填写用户名、密码、归属部门等，同时根据实际需求对后台用户设置相关权限。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b.组织机构管理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组织机构管理是参与城市体检人员组织的管理功能模块。针对组织架构具有基础维护功能。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c.权限管理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针对不同用户角色或组织，设置一定的权益，便于后期在做用户管理时进行相应权限设置。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d.功能管理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功能管理主要用于配置后台功能界面，可以对顶部、侧边栏、侧边栏树形结构等层级对功能菜单按钮进行定制。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e.数据字典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数据字典用于不同功能中的选项取值，如行政区划字典、指标类型字典等。便于对各类有范围的选项值进行维护。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3.移动端H5页面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（1）体检任务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现场调研人员通过系统权限控制，在调研任务功能模块内清晰查看个人的任务安排。系统自动区分并展示其名下的“未完成任务”与“已完成任务”内容，使调研人员能够快速聚焦当前工作重点，并便捷回溯历史工作记录，实现个人任务的闭环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（2）现场调研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调研人员在移动端针对住房、社区等维度进行现场任务处置。调研人员到达指定地点后，可进行定位打卡以核验位置，并对发现的问题项进行拍照、上传与文字说明，形成“定位－打卡－记录－上传”的全流程电子化记录，确保现场调研行为的真实性与数据完整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（3）问卷调查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支持调研人员根据管理端已配置好的问卷，在移动端进行便捷地在线填报。问卷内容与格式与管理端同步，确保数据采集的规范统一，满足不同场景下的快速信息收集需求。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（4）指标查看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调研人员随时查看当前体检批次下的所有评估指标。内容包括标准指标项与特色指标项，并可查看每一项指标的具体描述、考核要求及填报示例，为现场调研提供准确的依据和标准，保障数据采集的规范性与准确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（5）台账查看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调研人员查看与自身填报任务相关的体检台账。便于问题跟踪与个人工作总结，实现调研的工作成果与城市体检问题项的全局掌控。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城市更新项目库管理业务计方案</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实现更新项目从申报、审核、变更、出库等全流程、全周期的项目管理系统；实现项目各阶段数据与审查流程的精细化管理，建立精准的电子档案。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 PC服务端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建设城市更新项目库管理系统，强化全市重点更新项目基础数据，实现更新重点项目管理领域内业务属性数据的一体化管理。完善重点项目管理基础数据库体系。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申报与变更、阶段性填报时支持采集汇聚各个城建重点项目的建设主体的数据。填报相关项目名称、项目开工时间、项目建设周期、建设主体、建设负责单位、监理单位、建设人员、申报材料附件等相关信息，在相关数据规范要求下支持相关文字、图片、视频等数据采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1）储备项目申报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实施主体在完成前期调查和体检评估的基础上，形成策划方案，并提交入库申请项目纳入储备项目库。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2）试点项目申报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实施主体在完成前期调查和体检评估的基础上，形成策划方案，并提交入库申请项目纳入试点项目储备库。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3）项目计划申报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审核通过且已经具备启动条件的项目，可建立项目实施计划，以项目计划完成时间按季度（或按月）生成项目计划。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4）项目变更/出库申报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变更：已入库项目若在实施范围、规模、方式、主体等重点信息上发生调整，修改并提交变更申请。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般项目出库：①项目入库三年后仍不具备启动条件，并且相关工作无实质性进展，可申请延期一年，不申请或延期到期后，县（市、区）住建局向市住建局提交申请出库。②因工作重点转移、方式调整等原因，各县（市、区）住建局经研究确定不再实施的项目，向市住建局提交申请出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5）项目进度申报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项目实施过程中，应按周期填报项目实施进度。对于已经完成整个实施过程的项目可发起项目结项申请，完成结项的项目将自动移除项目库。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6）项目结果查看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历史项目：可查看相关权限内历史完结的项目和已出库项目。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在建项目：可查看相关权限内在建项目和进度。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4.2.2PC管理端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管理员对申报的项目进行落实审核，审核无误后进行审批，生成项目专属流程工单，秉持“一项一单”原则，支持流程展示审核人员、审核时间、审核状态、退回原因等展示。审核未通过将会退回申报界面，展示退回原因，同时提醒申报单位进行相关跟进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1）储备项目审核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初核：在收到实施提交的申请之日起5个工作日内依据入库条件完成初步审核，并填写《城市更新项目入库申请汇总表》，附上相关项目策划方案进行审核。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市级审核：在收到申请材料后10个工作日内完成申报入库项目资料审查。对符合条件的项目纳入城市更新项目库管理。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2）试点项目审核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试点项目从市级项目库的项目中择优遴选推荐进入项目库并标记为试点项目。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3）项目计划审核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审核相关项目资料和计划，审核通过的项目将自动转为在建状态并进入相关实施周期。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4）项目变更/出库审核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变更：审核项目变更申请，审核通过后系统修改项目相关属性信息。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出库：审核项目出库申请，审核通过后系统将项目移出项目库。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5）项目进度管理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可查看相关权限内所有在建项目、项目进度和相关进度资料。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可审批相关权限内的结项申请，通过申请的项目将转入历史项目库。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6）项目结果查看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历史项目：可查看相关权限内历史完结的项目和已出库项目。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在建项目：可查看相关权限内在建项目。</w:t>
      </w:r>
      <w:r/>
    </w:p>
    <w:p>
      <w:pPr>
        <w:ind w:firstLine="480"/>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7）项目查询：通过输入一定的查询条件，实现项目信息的个性化查询，包括项目申报、进展等情况，服务事项交办、落实情况等。</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质量保证措施</w:t>
      </w:r>
      <w:r/>
    </w:p>
    <w:p>
      <w:pPr>
        <w:ind w:firstLine="48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bidi="ar-SA"/>
        </w:rPr>
        <w:t xml:space="preserve">投标人须确保本次项目顺利建设完成，投入专业的项目团队，编制合理的项目进度计划，对实施过程进行有效管理至少包括：项目组织、项目进度、实施过程管理、质量管理体系、项目电子化管理、试运行方案。</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1.项目组织</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编制项目组织方案，提供针对本项目的人员投入方案。形成组织架构。需明确团队岗位职责，保障项目顺利实施。投入的团队人员均应具备相关资格证书，从而保障项目的顺利实施和运维售后工作的稳定开展。</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2.项目进度</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投标人应编制项目进度计划，需明确项目阶段划分、进度计划表和进度保障措施。编排合理有效的项目进度计划，并采用先进的管理手段推进执行该计划，是保证项目实施成功的重要环节。</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3.实施过程管理</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投标人需提供成熟有效的实施过程管理方案，在项目准备到项目实施、培训、正式运行阶段，均能有效地保证项目建设开发的快速、优质地实施。</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4.质量管理体系</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需对项目质量负责，制定合理的质量管理体系来指导和优化工作过程，同时在实践中优化质量体系。确保项目遵守质量管理体系的标准要求，严格按照质量管理体系的要求开展工作，以确保本项目的成功实施。</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5.项目电子化管理</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为了切实提高项目管理水平和工作效率，投标人需提供项目电子化管理手段，项目的启动、计划、实施、收尾及维护都能够及时准确反映出来，使甲方能共同参与管理，实现项目管理的透明、公开和高效。</w:t>
      </w:r>
      <w:r/>
    </w:p>
    <w:p>
      <w:pPr>
        <w:pStyle w:val="879"/>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6.试运行方案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bidi="ar-SA"/>
        </w:rPr>
        <w:t xml:space="preserve">投标人需制定试运行方案，确定试运行周期及工作安排，试运行结束后要进行总结，对试运行期间发现的问题及时优化调整到位。如果试运行效果不理想，可以中止并要求返工，如果试运行的范围和深度满足要求且系统运行稳定，方可进入验收程序。</w:t>
      </w:r>
      <w:r/>
    </w:p>
    <w:p>
      <w:pPr>
        <w:ind w:firstLine="482"/>
        <w:keepLines w:val="0"/>
        <w:keepNext w:val="0"/>
        <w:pageBreakBefore w:val="0"/>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七、售后服务方案</w:t>
      </w:r>
      <w:r/>
    </w:p>
    <w:p>
      <w:pPr>
        <w:pStyle w:val="879"/>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投标人必须承诺为采购人提供全面的售后服务支持，免费运维期2年。至少包括①</w:t>
      </w:r>
      <w:r>
        <w:rPr>
          <w:rFonts w:hint="eastAsia" w:ascii="宋体" w:hAnsi="宋体" w:eastAsia="宋体" w:cs="宋体"/>
          <w:color w:val="auto"/>
          <w:sz w:val="24"/>
          <w:szCs w:val="24"/>
          <w:highlight w:val="none"/>
        </w:rPr>
        <w:t xml:space="preserve">售后服务响应时间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bidi="ar-SA"/>
        </w:rPr>
        <w:t xml:space="preserve">②</w:t>
      </w:r>
      <w:r>
        <w:rPr>
          <w:rFonts w:hint="eastAsia" w:ascii="宋体" w:hAnsi="宋体" w:eastAsia="宋体" w:cs="宋体"/>
          <w:color w:val="auto"/>
          <w:sz w:val="24"/>
          <w:szCs w:val="24"/>
          <w:highlight w:val="none"/>
        </w:rPr>
        <w:t xml:space="preserve">服务流程、程序及售后维保服务人员</w:t>
      </w:r>
      <w:r>
        <w:rPr>
          <w:rFonts w:hint="eastAsia" w:ascii="宋体" w:hAnsi="宋体" w:eastAsia="宋体" w:cs="宋体"/>
          <w:b w:val="0"/>
          <w:bCs/>
          <w:color w:val="auto"/>
          <w:sz w:val="24"/>
          <w:szCs w:val="24"/>
          <w:highlight w:val="none"/>
          <w:lang w:val="en-US" w:eastAsia="zh-CN" w:bidi="ar-SA"/>
        </w:rPr>
        <w:t xml:space="preserve">；③</w:t>
      </w:r>
      <w:r>
        <w:rPr>
          <w:rFonts w:hint="eastAsia" w:ascii="宋体" w:hAnsi="宋体" w:eastAsia="宋体" w:cs="宋体"/>
          <w:color w:val="auto"/>
          <w:sz w:val="24"/>
          <w:szCs w:val="24"/>
          <w:highlight w:val="none"/>
        </w:rPr>
        <w:t xml:space="preserve">服务监督和改进措施</w:t>
      </w:r>
      <w:r>
        <w:rPr>
          <w:rFonts w:hint="eastAsia" w:ascii="宋体" w:hAnsi="宋体" w:eastAsia="宋体" w:cs="宋体"/>
          <w:b w:val="0"/>
          <w:bCs/>
          <w:color w:val="auto"/>
          <w:sz w:val="24"/>
          <w:szCs w:val="24"/>
          <w:highlight w:val="none"/>
          <w:lang w:val="en-US" w:eastAsia="zh-CN" w:bidi="ar-SA"/>
        </w:rPr>
        <w:t xml:space="preserve">等内容。</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rPr>
        <w:t xml:space="preserve">售后服务响应时间；</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服务分级：根据故障的业务影响程度和紧急程度（建议参考ITIL标准）明确定义服务级别（如：P1－严重故障/系统瘫痪；P2-主要功能失效；P3-次要功能失效；P4-咨询/轻微问题）。</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eastAsia="zh-CN"/>
        </w:rPr>
        <w:t xml:space="preserve">响应时间承诺：对每个服务级别承诺明确的首次响应时间（如：P1: 15分钟； P2: 1小时； P3: 4小时； P4: 1个工作日）。响应指供应商确认收到请求并开始处理。</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eastAsia="zh-CN"/>
        </w:rPr>
        <w:t xml:space="preserve">解决时间目标：提供目标解决时间（TTR）或恢复时间目标（RTO）的承诺范围（如：P1: 4小时内恢复关键业务； P2: 8小时内解决）。需说明这是目标而非绝对保证。</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eastAsia="zh-CN"/>
        </w:rPr>
        <w:t xml:space="preserve">服务窗口：明确不同级别服务的支持时间（如：7x24小时，或5x8小时+紧急联系）。</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服务流程、程序及售后维保服务人员；</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服务台/入口：提供清晰、便捷的服务请求提交渠道（电话热线、邮件、在线门户、微信等），并提供唯一服务号。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服务流程：</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lang w:eastAsia="zh-CN"/>
        </w:rPr>
        <w:t xml:space="preserve">事件接收与记录。</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b.</w:t>
      </w:r>
      <w:r>
        <w:rPr>
          <w:rFonts w:hint="eastAsia" w:ascii="宋体" w:hAnsi="宋体" w:eastAsia="宋体" w:cs="宋体"/>
          <w:color w:val="auto"/>
          <w:sz w:val="24"/>
          <w:szCs w:val="24"/>
          <w:highlight w:val="none"/>
          <w:lang w:eastAsia="zh-CN"/>
        </w:rPr>
        <w:t xml:space="preserve">初步分类与优先级判定。</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c.</w:t>
      </w:r>
      <w:r>
        <w:rPr>
          <w:rFonts w:hint="eastAsia" w:ascii="宋体" w:hAnsi="宋体" w:eastAsia="宋体" w:cs="宋体"/>
          <w:color w:val="auto"/>
          <w:sz w:val="24"/>
          <w:szCs w:val="24"/>
          <w:highlight w:val="none"/>
          <w:lang w:eastAsia="zh-CN"/>
        </w:rPr>
        <w:t xml:space="preserve">技术支持工程师响应与诊断。</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d.</w:t>
      </w:r>
      <w:r>
        <w:rPr>
          <w:rFonts w:hint="eastAsia" w:ascii="宋体" w:hAnsi="宋体" w:eastAsia="宋体" w:cs="宋体"/>
          <w:color w:val="auto"/>
          <w:sz w:val="24"/>
          <w:szCs w:val="24"/>
          <w:highlight w:val="none"/>
          <w:lang w:eastAsia="zh-CN"/>
        </w:rPr>
        <w:t xml:space="preserve">问题解决（远程支持、现场支持、升级处理）。</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eastAsia="zh-CN"/>
        </w:rPr>
        <w:t xml:space="preserve">解决方案确认与关闭。</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f.</w:t>
      </w:r>
      <w:r>
        <w:rPr>
          <w:rFonts w:hint="eastAsia" w:ascii="宋体" w:hAnsi="宋体" w:eastAsia="宋体" w:cs="宋体"/>
          <w:color w:val="auto"/>
          <w:sz w:val="24"/>
          <w:szCs w:val="24"/>
          <w:highlight w:val="none"/>
          <w:lang w:eastAsia="zh-CN"/>
        </w:rPr>
        <w:t xml:space="preserve">客户满意度回访。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现场服务：说明现场服务的触发条件（如远程无法解决）、到达现场的承诺时间（根据服务级别和地理位置）、现场服务流程。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维保服务人员：</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a.</w:t>
      </w:r>
      <w:r>
        <w:rPr>
          <w:rFonts w:hint="eastAsia" w:ascii="宋体" w:hAnsi="宋体" w:eastAsia="宋体" w:cs="宋体"/>
          <w:color w:val="auto"/>
          <w:sz w:val="24"/>
          <w:szCs w:val="24"/>
          <w:highlight w:val="none"/>
          <w:lang w:eastAsia="zh-CN"/>
        </w:rPr>
        <w:t xml:space="preserve">提供负责本项目维保服务的团队介绍（人员数量、资质、经验）。</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b.</w:t>
      </w:r>
      <w:r>
        <w:rPr>
          <w:rFonts w:hint="eastAsia" w:ascii="宋体" w:hAnsi="宋体" w:eastAsia="宋体" w:cs="宋体"/>
          <w:color w:val="auto"/>
          <w:sz w:val="24"/>
          <w:szCs w:val="24"/>
          <w:highlight w:val="none"/>
          <w:lang w:eastAsia="zh-CN"/>
        </w:rPr>
        <w:t xml:space="preserve">承诺关键支持人员的稳定性。</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c.</w:t>
      </w:r>
      <w:r>
        <w:rPr>
          <w:rFonts w:hint="eastAsia" w:ascii="宋体" w:hAnsi="宋体" w:eastAsia="宋体" w:cs="宋体"/>
          <w:color w:val="auto"/>
          <w:sz w:val="24"/>
          <w:szCs w:val="24"/>
          <w:highlight w:val="none"/>
          <w:lang w:eastAsia="zh-CN"/>
        </w:rPr>
        <w:t xml:space="preserve">提供7x24小时紧急联系人和联系方式。</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服务监督和改进措施</w:t>
      </w:r>
      <w:r>
        <w:rPr>
          <w:rFonts w:hint="eastAsia" w:ascii="宋体" w:hAnsi="宋体" w:eastAsia="宋体" w:cs="宋体"/>
          <w:color w:val="auto"/>
          <w:sz w:val="24"/>
          <w:szCs w:val="24"/>
          <w:highlight w:val="none"/>
          <w:lang w:eastAsia="zh-CN"/>
        </w:rPr>
        <w:t xml:space="preserve">。</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a.</w:t>
      </w:r>
      <w:r>
        <w:rPr>
          <w:rFonts w:hint="eastAsia" w:ascii="宋体" w:hAnsi="宋体" w:eastAsia="宋体" w:cs="宋体"/>
          <w:color w:val="auto"/>
          <w:sz w:val="24"/>
          <w:szCs w:val="24"/>
          <w:highlight w:val="none"/>
          <w:lang w:eastAsia="zh-CN"/>
        </w:rPr>
        <w:t xml:space="preserve">服务报告：承诺定期（如每月/季度）提交服务报告，内容包括：服务请求总量、按级别分类统计、平均响应时间、平均解决时间、主要问题分析、预防措施、客户满意度汇总。</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b.</w:t>
      </w:r>
      <w:r>
        <w:rPr>
          <w:rFonts w:hint="eastAsia" w:ascii="宋体" w:hAnsi="宋体" w:eastAsia="宋体" w:cs="宋体"/>
          <w:color w:val="auto"/>
          <w:sz w:val="24"/>
          <w:szCs w:val="24"/>
          <w:highlight w:val="none"/>
          <w:lang w:eastAsia="zh-CN"/>
        </w:rPr>
        <w:t xml:space="preserve">客户满意度调查：定期进行客户满意度调查（如每季度或每次服务后），收集反馈并用于改进服务。</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c.</w:t>
      </w:r>
      <w:r>
        <w:rPr>
          <w:rFonts w:hint="eastAsia" w:ascii="宋体" w:hAnsi="宋体" w:eastAsia="宋体" w:cs="宋体"/>
          <w:color w:val="auto"/>
          <w:sz w:val="24"/>
          <w:szCs w:val="24"/>
          <w:highlight w:val="none"/>
          <w:lang w:eastAsia="zh-CN"/>
        </w:rPr>
        <w:t xml:space="preserve">持续改进机制：描述如何分析服务数据、客户反馈和事件根因，用于持续优化服务流程、知识库、人员技能和预防性措施。</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d.</w:t>
      </w:r>
      <w:r>
        <w:rPr>
          <w:rFonts w:hint="eastAsia" w:ascii="宋体" w:hAnsi="宋体" w:eastAsia="宋体" w:cs="宋体"/>
          <w:color w:val="auto"/>
          <w:sz w:val="24"/>
          <w:szCs w:val="24"/>
          <w:highlight w:val="none"/>
          <w:lang w:eastAsia="zh-CN"/>
        </w:rPr>
        <w:t xml:space="preserve">投诉处理流程：建立专门的投诉渠道和处理流程，承诺投诉的响应和解决时限。</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eastAsia="zh-CN"/>
        </w:rPr>
        <w:t xml:space="preserve">知识转移：整个实施和售后服务过程中，供应商有责任进行充分的知识转移，确保采购人团队能逐步掌握系统的运维和管理能力。</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f.</w:t>
      </w:r>
      <w:r>
        <w:rPr>
          <w:rFonts w:hint="eastAsia" w:ascii="宋体" w:hAnsi="宋体" w:eastAsia="宋体" w:cs="宋体"/>
          <w:color w:val="auto"/>
          <w:sz w:val="24"/>
          <w:szCs w:val="24"/>
          <w:highlight w:val="none"/>
          <w:lang w:eastAsia="zh-CN"/>
        </w:rPr>
        <w:t xml:space="preserve">文档交付清单：单独列出要求供应商在项目各阶段（如安装后、初验后、终验后）必须交付的所有文档清单及其要求（格式、内容、版本）。</w:t>
      </w:r>
      <w:r/>
    </w:p>
    <w:p>
      <w:pPr>
        <w:ind w:firstLine="482"/>
        <w:keepLines w:val="0"/>
        <w:keepNext w:val="0"/>
        <w:pageBreakBefore w:val="0"/>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八、培训方案</w:t>
      </w:r>
      <w:r/>
    </w:p>
    <w:p>
      <w:pPr>
        <w:pStyle w:val="879"/>
        <w:numPr>
          <w:ilvl w:val="0"/>
          <w:numId w:val="0"/>
        </w:numPr>
        <w:ind w:firstLine="480"/>
        <w:pageBreakBefore w:val="0"/>
        <w:spacing w:line="360" w:lineRule="auto"/>
        <w:rPr>
          <w:rFonts w:hint="eastAsia" w:ascii="宋体" w:hAnsi="宋体" w:eastAsia="宋体" w:cs="宋体"/>
          <w:b w:val="0"/>
          <w:bCs/>
          <w:color w:val="auto"/>
          <w:sz w:val="24"/>
          <w:szCs w:val="28"/>
          <w:highlight w:val="none"/>
          <w:lang w:val="en-US" w:eastAsia="zh-CN"/>
        </w:rPr>
      </w:pPr>
      <w:r>
        <w:rPr>
          <w:rFonts w:hint="eastAsia" w:ascii="宋体" w:hAnsi="宋体" w:eastAsia="宋体" w:cs="宋体"/>
          <w:b w:val="0"/>
          <w:bCs/>
          <w:color w:val="auto"/>
          <w:sz w:val="24"/>
          <w:szCs w:val="28"/>
          <w:highlight w:val="none"/>
          <w:lang w:val="en-US" w:eastAsia="zh-CN"/>
        </w:rPr>
        <w:t xml:space="preserve">投标人应提供完备的培训计划，至少包括：①总体培训计划和目标；②培训老师配置；③培训时间和培训次数；④培训内容；⑤培训质量控制等内容。通过培训保证在系统上线后，甲方人员能熟练、准确地使用、管理、维护系统成果。</w:t>
      </w:r>
      <w:r/>
    </w:p>
    <w:p>
      <w:pPr>
        <w:ind w:firstLine="482"/>
        <w:jc w:val="left"/>
        <w:keepLines w:val="0"/>
        <w:keepNext w:val="0"/>
        <w:pageBreakBefore w:val="0"/>
        <w:spacing w:line="360" w:lineRule="auto"/>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①</w:t>
      </w:r>
      <w:r>
        <w:rPr>
          <w:rFonts w:hint="eastAsia" w:ascii="宋体" w:hAnsi="宋体" w:eastAsia="宋体" w:cs="宋体"/>
          <w:color w:val="auto"/>
          <w:sz w:val="24"/>
          <w:szCs w:val="22"/>
          <w:highlight w:val="none"/>
        </w:rPr>
        <w:t xml:space="preserve">总体培训计划和目标；</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培训目标：清晰定义培训后学员应达到的能力水平（如：能独立操作核心模块、能进行日常管理维护、能处理常见问题）。</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培训对象：明确区分不同角色的培训对象（如：系统管理员、业务操作员、技术支持人员、最终用户）及其所需的不同技能。</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培训策略：采用多种培训方式（如理论授课、实操演练、案例分析、上机指导、沙箱环境练习、在线学习）的组合。</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培训成果评估：明确如何衡量培训效果（如：考试、实操考核、问卷调查、后续工作表现跟踪）。</w:t>
      </w:r>
      <w:r/>
    </w:p>
    <w:p>
      <w:pPr>
        <w:ind w:firstLine="482"/>
        <w:jc w:val="left"/>
        <w:keepLines w:val="0"/>
        <w:keepNext w:val="0"/>
        <w:pageBreakBefore w:val="0"/>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②</w:t>
      </w:r>
      <w:r>
        <w:rPr>
          <w:rFonts w:hint="eastAsia" w:ascii="宋体" w:hAnsi="宋体" w:eastAsia="宋体" w:cs="宋体"/>
          <w:color w:val="auto"/>
          <w:sz w:val="24"/>
          <w:szCs w:val="22"/>
          <w:highlight w:val="none"/>
        </w:rPr>
        <w:t xml:space="preserve">培训老师配置；</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资质要求：</w:t>
      </w:r>
      <w:r>
        <w:rPr>
          <w:rFonts w:hint="eastAsia" w:ascii="宋体" w:hAnsi="宋体" w:eastAsia="宋体" w:cs="宋体"/>
          <w:color w:val="auto"/>
          <w:sz w:val="24"/>
          <w:szCs w:val="24"/>
          <w:highlight w:val="none"/>
          <w:lang w:val="en-US" w:eastAsia="zh-CN"/>
        </w:rPr>
        <w:t xml:space="preserve">至少派1名讲师负责系统操作培训，</w:t>
      </w:r>
      <w:r>
        <w:rPr>
          <w:rFonts w:hint="eastAsia" w:ascii="宋体" w:hAnsi="宋体" w:eastAsia="宋体" w:cs="宋体"/>
          <w:color w:val="auto"/>
          <w:sz w:val="24"/>
          <w:szCs w:val="24"/>
          <w:highlight w:val="none"/>
        </w:rPr>
        <w:t xml:space="preserve">要求讲师具备丰富的产品知识、实际项目经验、良好的授课技巧。提供拟派讲师简历及认证证明。</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角色匹配：确保讲师的专业领域与所授课程内容（管理员课程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用户操作课程）相匹配。</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人员稳定性：承诺主要讲师在培训期间保持稳定。</w:t>
      </w:r>
      <w:r/>
    </w:p>
    <w:p>
      <w:pPr>
        <w:ind w:firstLine="482"/>
        <w:jc w:val="left"/>
        <w:keepLines w:val="0"/>
        <w:keepNext w:val="0"/>
        <w:pageBreakBefore w:val="0"/>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 xml:space="preserve">③</w:t>
      </w:r>
      <w:r>
        <w:rPr>
          <w:rFonts w:hint="eastAsia" w:ascii="宋体" w:hAnsi="宋体" w:eastAsia="宋体" w:cs="宋体"/>
          <w:color w:val="auto"/>
          <w:sz w:val="24"/>
          <w:szCs w:val="22"/>
          <w:highlight w:val="none"/>
        </w:rPr>
        <w:t xml:space="preserve">培训时间和培训次数；</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详细日程：提供每类培训课程（管理员、用户）的详细日程安排（日期、时间、时长、课程主题）。</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eastAsia="zh-CN"/>
        </w:rPr>
        <w:t xml:space="preserve">课时分配：明确理论课、实践课的具体课时分配。</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eastAsia="zh-CN"/>
        </w:rPr>
        <w:t xml:space="preserve">期次安排：</w:t>
      </w:r>
      <w:r>
        <w:rPr>
          <w:rFonts w:hint="eastAsia" w:ascii="宋体" w:hAnsi="宋体" w:eastAsia="宋体" w:cs="宋体"/>
          <w:color w:val="auto"/>
          <w:sz w:val="24"/>
          <w:szCs w:val="24"/>
          <w:highlight w:val="none"/>
          <w:lang w:val="en-US" w:eastAsia="zh-CN"/>
        </w:rPr>
        <w:t xml:space="preserve">对所有角色人员培训至少1次，</w:t>
      </w:r>
      <w:r>
        <w:rPr>
          <w:rFonts w:hint="eastAsia" w:ascii="宋体" w:hAnsi="宋体" w:eastAsia="宋体" w:cs="宋体"/>
          <w:color w:val="auto"/>
          <w:sz w:val="24"/>
          <w:szCs w:val="24"/>
          <w:highlight w:val="none"/>
          <w:lang w:eastAsia="zh-CN"/>
        </w:rPr>
        <w:t xml:space="preserve">说明计划开设的培训期次，考虑用户分批参加的需要。明确每期的人数限制。</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eastAsia="zh-CN"/>
        </w:rPr>
        <w:t xml:space="preserve">地点：明确培训地点（现场集中培训、远程在线培训或混合模式）。如现场培训，明确场地要求（投影、网络、电脑配置）。</w:t>
      </w:r>
      <w:r/>
    </w:p>
    <w:p>
      <w:pPr>
        <w:ind w:firstLine="482"/>
        <w:jc w:val="left"/>
        <w:keepLines w:val="0"/>
        <w:keepNext w:val="0"/>
        <w:pageBreakBefore w:val="0"/>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④</w:t>
      </w:r>
      <w:r>
        <w:rPr>
          <w:rFonts w:hint="eastAsia" w:ascii="宋体" w:hAnsi="宋体" w:eastAsia="宋体" w:cs="宋体"/>
          <w:color w:val="auto"/>
          <w:sz w:val="24"/>
          <w:szCs w:val="22"/>
          <w:highlight w:val="none"/>
        </w:rPr>
        <w:t xml:space="preserve">培训内容；</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分角色定制：针对不同角色（管理员、用户）设计差异化的培训大纲。</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eastAsia="zh-CN"/>
        </w:rPr>
        <w:t xml:space="preserve">系统管理员：系统架构、安装部署、配置管理、用户权限管理、备份恢复、日常监控与维护、性能优化、日志分析、故障排查、升级流程、安全管理。</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eastAsia="zh-CN"/>
        </w:rPr>
        <w:t xml:space="preserve">数据库管理员：数据库维护、优化、备份恢复策略。</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eastAsia="zh-CN"/>
        </w:rPr>
        <w:t xml:space="preserve">业务操作员/最终用户：系统登录、核心业务流程操作、数据录入查询、常用功能使用、快捷操作、常见问题自助解决。</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eastAsia="zh-CN"/>
        </w:rPr>
        <w:t xml:space="preserve">技术支持人员：深入了解系统原理、高级故障诊断、与后端支持团队的协作流程。</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eastAsia="zh-CN"/>
        </w:rPr>
        <w:t xml:space="preserve">教材：提供完整、清晰、中文的培训教材（电子版或纸质版）、实验手册、快速参考指南。</w:t>
      </w:r>
      <w:r/>
    </w:p>
    <w:p>
      <w:pPr>
        <w:ind w:firstLine="482"/>
        <w:jc w:val="left"/>
        <w:keepLines w:val="0"/>
        <w:keepNext w:val="0"/>
        <w:pageBreakBefore w:val="0"/>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⑤</w:t>
      </w:r>
      <w:r>
        <w:rPr>
          <w:rFonts w:hint="eastAsia" w:ascii="宋体" w:hAnsi="宋体" w:eastAsia="宋体" w:cs="宋体"/>
          <w:color w:val="auto"/>
          <w:sz w:val="24"/>
          <w:szCs w:val="22"/>
          <w:highlight w:val="none"/>
        </w:rPr>
        <w:t xml:space="preserve">培训质量控制；</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学员反馈：每次培训后收集学员满意度反馈，用于持续改进。</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eastAsia="zh-CN"/>
        </w:rPr>
        <w:t xml:space="preserve">考核机制：对关键课程（尤其是管理员课程）设置考核环节（笔试、实操），确保学员掌握核心技能。明确考核合格标准。</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eastAsia="zh-CN"/>
        </w:rPr>
        <w:t xml:space="preserve">培训效果跟踪：在培训结束后一段时间（如1个月），进行回访或问卷调查，了解知识应用情况和存在的问题。</w:t>
      </w:r>
      <w:r/>
    </w:p>
    <w:p>
      <w:pPr>
        <w:ind w:firstLine="480"/>
        <w:jc w:val="left"/>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eastAsia="zh-CN"/>
        </w:rPr>
        <w:t xml:space="preserve">问题解答：培训期间及结束后提供有效的答疑渠道。</w:t>
      </w:r>
      <w:r/>
    </w:p>
    <w:p>
      <w:pPr>
        <w:ind w:firstLine="562"/>
        <w:jc w:val="left"/>
        <w:keepLines w:val="0"/>
        <w:keepNext w:val="0"/>
        <w:pageBreakBefore w:val="0"/>
        <w:spacing w:line="360" w:lineRule="auto"/>
        <w:widowControl/>
        <w:rPr>
          <w:rFonts w:hint="eastAsia" w:ascii="宋体" w:hAnsi="宋体" w:eastAsia="宋体" w:cs="宋体"/>
          <w:b/>
          <w:bCs w:val="0"/>
          <w:color w:val="auto"/>
          <w:sz w:val="28"/>
          <w:szCs w:val="28"/>
          <w:highlight w:val="none"/>
          <w:lang w:val="en-US" w:eastAsia="zh-CN" w:bidi="ar"/>
        </w:rPr>
      </w:pPr>
      <w:r>
        <w:rPr>
          <w:rFonts w:hint="eastAsia" w:ascii="宋体" w:hAnsi="宋体" w:eastAsia="宋体" w:cs="宋体"/>
          <w:b/>
          <w:bCs w:val="0"/>
          <w:color w:val="auto"/>
          <w:sz w:val="28"/>
          <w:szCs w:val="28"/>
          <w:highlight w:val="none"/>
          <w:lang w:val="en-US" w:eastAsia="zh-CN" w:bidi="ar"/>
        </w:rPr>
        <w:t xml:space="preserve">九、综合实力要求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1.投标人具有在开标当日属于有效期内的质量管理体系认证证书、信息安全管理体系认证证书、信息技术服务体系认证证书的优先。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2.项目经理具有信息系统项目管理师、软件设计师、系统分析师证书的优先。</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3.项目团队人员（除项目经理以外）具有信息系统项目管理师、软件设计师、系统分析师证书的优先。</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4.投标人自 2022年1月1日以来具有类似业绩的优先。</w:t>
      </w:r>
      <w:r/>
    </w:p>
    <w:p>
      <w:pPr>
        <w:pStyle w:val="867"/>
        <w:ind w:firstLine="480"/>
        <w:jc w:val="both"/>
        <w:keepLines w:val="0"/>
        <w:keepNext w:val="0"/>
        <w:pageBreakBefore w:val="0"/>
        <w:spacing w:beforeAutospacing="0" w:afterAutospacing="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十、演示要求</w:t>
      </w:r>
      <w:r/>
    </w:p>
    <w:p>
      <w:pPr>
        <w:pStyle w:val="867"/>
        <w:ind w:firstLine="480"/>
        <w:jc w:val="both"/>
        <w:keepLines w:val="0"/>
        <w:keepNext w:val="0"/>
        <w:pageBreakBefore w:val="0"/>
        <w:spacing w:beforeAutospacing="0" w:afterAutospacing="0" w:line="360" w:lineRule="auto"/>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投标人需按照招标文件规定的演示内容，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优先采用真实系统演示，演示时长总计不超过15分钟。</w:t>
      </w:r>
      <w:r/>
    </w:p>
    <w:p>
      <w:pPr>
        <w:pStyle w:val="867"/>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演示内容如下：</w:t>
      </w:r>
      <w:r/>
    </w:p>
    <w:p>
      <w:pPr>
        <w:ind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pPr>
      <w:r>
        <w:rPr>
          <w:rFonts w:hint="eastAsia" w:asciiTheme="minorEastAsia" w:hAnsiTheme="minorEastAsia" w:cstheme="minorEastAsia"/>
          <w:i w:val="0"/>
          <w:iCs w:val="0"/>
          <w:color w:val="auto"/>
          <w:sz w:val="24"/>
          <w:szCs w:val="24"/>
          <w:highlight w:val="none"/>
          <w:u w:val="none"/>
          <w:lang w:val="en-US" w:eastAsia="zh-CN" w:bidi="ar"/>
        </w:rPr>
        <w:t xml:space="preserve">（一）</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城市体检分析展示功能演示</w:t>
      </w:r>
      <w:r/>
    </w:p>
    <w:p>
      <w:pPr>
        <w:pStyle w:val="867"/>
        <w:ind w:left="479" w:firstLine="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1、可视化演示：</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宋体" w:hAnsi="宋体" w:eastAsia="宋体" w:cs="宋体"/>
          <w:sz w:val="24"/>
          <w:szCs w:val="24"/>
          <w:highlight w:val="none"/>
          <w:lang w:val="en-US" w:eastAsia="zh-CN"/>
        </w:rPr>
        <w:t xml:space="preserve">(1)城市数据总览大屏的城市地图支持市、区两级交互联动；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(2)支持体检所采集空间数据在GIS地图上展示并支持查看点位详情和图</w:t>
      </w:r>
      <w:r/>
    </w:p>
    <w:p>
      <w:pPr>
        <w:pStyle w:val="867"/>
        <w:ind w:left="480" w:hanging="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(3)支持在地图上实现问题热力分布，支持地图上进行设施半径分析，查看</w:t>
      </w:r>
      <w:r/>
    </w:p>
    <w:p>
      <w:pPr>
        <w:pStyle w:val="867"/>
        <w:ind w:left="480" w:hanging="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设施覆盖范围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2、AI统计分析和智能生成报告演示：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(1)支持自定义输入城市体检文字指令，根据输入要求生成体检结果统计分</w:t>
      </w:r>
      <w:r/>
    </w:p>
    <w:p>
      <w:pPr>
        <w:pStyle w:val="867"/>
        <w:ind w:left="480" w:hanging="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(2)通过语音唤起模型，通过语音自然交互，模型给出查询结果；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(3)一键生成体检报告，支持预览和下载报告；</w:t>
      </w:r>
      <w:r>
        <w:rPr>
          <w:rFonts w:hint="eastAsia" w:ascii="宋体" w:hAnsi="宋体" w:eastAsia="宋体" w:cs="宋体"/>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（二）</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移动端数据配置采集功能演示</w:t>
      </w:r>
      <w:r/>
    </w:p>
    <w:p>
      <w:pPr>
        <w:numPr>
          <w:ilvl w:val="0"/>
          <w:numId w:val="0"/>
        </w:numPr>
        <w:ind w:firstLine="480"/>
        <w:jc w:val="left"/>
        <w:keepLines w:val="0"/>
        <w:keepNext w:val="0"/>
        <w:pageBreakBefore w:val="0"/>
        <w:spacing w:line="36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
        </w:rPr>
        <w:t xml:space="preserve">1、</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演示一键复制指标的能力，能选择某批次指标一键复制到当前批次</w:t>
      </w:r>
      <w:r>
        <w:rPr>
          <w:rFonts w:hint="eastAsia" w:asciiTheme="minorEastAsia" w:hAnsiTheme="minorEastAsia" w:cstheme="minorEastAsia"/>
          <w:i w:val="0"/>
          <w:iCs w:val="0"/>
          <w:color w:val="auto"/>
          <w:sz w:val="24"/>
          <w:szCs w:val="24"/>
          <w:highlight w:val="none"/>
          <w:u w:val="none"/>
          <w:lang w:val="en-US" w:eastAsia="zh-CN" w:bidi="ar"/>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cstheme="minorEastAsia"/>
          <w:i w:val="0"/>
          <w:iCs w:val="0"/>
          <w:color w:val="auto"/>
          <w:sz w:val="24"/>
          <w:szCs w:val="24"/>
          <w:highlight w:val="none"/>
          <w:u w:val="none"/>
          <w:lang w:val="en-US" w:eastAsia="zh-CN" w:bidi="ar"/>
        </w:rPr>
        <w:t xml:space="preserve">    </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2、支持将管理端配置的体检指标表单在移动端进行展示，并支持对具体指标问题内容进行填报</w:t>
      </w:r>
      <w:r>
        <w:rPr>
          <w:rFonts w:hint="eastAsia" w:asciiTheme="minorEastAsia" w:hAnsiTheme="minorEastAsia" w:cstheme="minorEastAsia"/>
          <w:i w:val="0"/>
          <w:iCs w:val="0"/>
          <w:color w:val="auto"/>
          <w:sz w:val="24"/>
          <w:szCs w:val="24"/>
          <w:highlight w:val="none"/>
          <w:u w:val="none"/>
          <w:lang w:val="en-US" w:eastAsia="zh-CN" w:bidi="ar"/>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cstheme="minorEastAsia"/>
          <w:i w:val="0"/>
          <w:iCs w:val="0"/>
          <w:color w:val="auto"/>
          <w:sz w:val="24"/>
          <w:szCs w:val="24"/>
          <w:highlight w:val="none"/>
          <w:u w:val="none"/>
          <w:lang w:val="en-US" w:eastAsia="zh-CN" w:bidi="ar"/>
        </w:rPr>
        <w:t xml:space="preserve">    </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3、拍摄照片带水印相机功能，能通过水印相机对采集到的图片添加水印</w:t>
      </w:r>
      <w:r>
        <w:rPr>
          <w:rFonts w:hint="eastAsia" w:asciiTheme="minorEastAsia" w:hAnsiTheme="minorEastAsia" w:cstheme="minorEastAsia"/>
          <w:i w:val="0"/>
          <w:iCs w:val="0"/>
          <w:color w:val="auto"/>
          <w:sz w:val="24"/>
          <w:szCs w:val="24"/>
          <w:highlight w:val="none"/>
          <w:u w:val="none"/>
          <w:lang w:val="en-US" w:eastAsia="zh-CN" w:bidi="ar"/>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cstheme="minorEastAsia"/>
          <w:i w:val="0"/>
          <w:iCs w:val="0"/>
          <w:color w:val="auto"/>
          <w:sz w:val="24"/>
          <w:szCs w:val="24"/>
          <w:highlight w:val="none"/>
          <w:u w:val="none"/>
          <w:lang w:val="en-US" w:eastAsia="zh-CN" w:bidi="ar"/>
        </w:rPr>
        <w:t xml:space="preserve">    </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4、支持移动端填报记录查询，能查看所有填报记录</w:t>
      </w:r>
      <w:r>
        <w:rPr>
          <w:rFonts w:hint="eastAsia" w:asciiTheme="minorEastAsia" w:hAnsiTheme="minorEastAsia" w:cstheme="minorEastAsia"/>
          <w:i w:val="0"/>
          <w:iCs w:val="0"/>
          <w:color w:val="auto"/>
          <w:sz w:val="24"/>
          <w:szCs w:val="24"/>
          <w:highlight w:val="none"/>
          <w:u w:val="none"/>
          <w:lang w:val="en-US" w:eastAsia="zh-CN" w:bidi="ar"/>
        </w:rPr>
        <w:t xml:space="preserve">；</w:t>
      </w:r>
      <w:r/>
    </w:p>
    <w:p>
      <w:pPr>
        <w:ind w:left="479" w:firstLine="0"/>
        <w:jc w:val="left"/>
        <w:keepLines w:val="0"/>
        <w:keepNext w:val="0"/>
        <w:pageBreakBefore w:val="0"/>
        <w:spacing w:line="360" w:lineRule="auto"/>
        <w:widowControl/>
        <w:rPr>
          <w:rFonts w:hint="eastAsia" w:asciiTheme="minorEastAsia" w:hAnsi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5、支持移动端台账查询，支持查看所有问题台账</w:t>
      </w:r>
      <w:r>
        <w:rPr>
          <w:rFonts w:hint="eastAsia" w:asciiTheme="minorEastAsia" w:hAnsiTheme="minorEastAsia" w:cstheme="minorEastAsia"/>
          <w:i w:val="0"/>
          <w:iCs w:val="0"/>
          <w:color w:val="auto"/>
          <w:sz w:val="24"/>
          <w:szCs w:val="24"/>
          <w:highlight w:val="none"/>
          <w:u w:val="none"/>
          <w:lang w:val="en-US" w:eastAsia="zh-CN" w:bidi="ar"/>
        </w:rPr>
        <w:t xml:space="preserve">。</w:t>
      </w:r>
      <w:r/>
    </w:p>
    <w:p>
      <w:pPr>
        <w:ind w:left="479" w:firstLine="0"/>
        <w:jc w:val="left"/>
        <w:keepLines w:val="0"/>
        <w:keepNext w:val="0"/>
        <w:pageBreakBefore w:val="0"/>
        <w:spacing w:line="360" w:lineRule="auto"/>
        <w:widowControl/>
        <w:rPr>
          <w:rFonts w:hint="eastAsia" w:ascii="宋体" w:hAnsi="宋体" w:eastAsia="宋体" w:cs="宋体"/>
          <w:b/>
          <w:bCs w:val="0"/>
          <w:color w:val="auto"/>
          <w:sz w:val="28"/>
          <w:szCs w:val="28"/>
          <w:highlight w:val="none"/>
          <w:lang w:bidi="ar"/>
        </w:rPr>
      </w:pPr>
      <w:r>
        <w:rPr>
          <w:rFonts w:hint="eastAsia" w:ascii="宋体" w:hAnsi="宋体" w:eastAsia="宋体" w:cs="宋体"/>
          <w:b/>
          <w:bCs w:val="0"/>
          <w:color w:val="auto"/>
          <w:sz w:val="28"/>
          <w:szCs w:val="28"/>
          <w:highlight w:val="none"/>
          <w:lang w:val="en-US" w:eastAsia="zh-CN" w:bidi="ar"/>
        </w:rPr>
        <w:t xml:space="preserve">十</w:t>
      </w:r>
      <w:r>
        <w:rPr>
          <w:rFonts w:hint="eastAsia" w:ascii="宋体" w:hAnsi="宋体" w:eastAsia="宋体" w:cs="宋体"/>
          <w:b/>
          <w:bCs w:val="0"/>
          <w:color w:val="auto"/>
          <w:sz w:val="28"/>
          <w:szCs w:val="28"/>
          <w:highlight w:val="none"/>
          <w:lang w:bidi="ar"/>
        </w:rPr>
        <w:t xml:space="preserve">、项目商务要求</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1.交付期：</w:t>
      </w:r>
      <w:r>
        <w:rPr>
          <w:rFonts w:hint="eastAsia" w:ascii="宋体" w:hAnsi="宋体" w:eastAsia="宋体" w:cs="宋体"/>
          <w:b w:val="0"/>
          <w:bCs/>
          <w:color w:val="auto"/>
          <w:sz w:val="24"/>
          <w:szCs w:val="28"/>
          <w:highlight w:val="none"/>
        </w:rPr>
        <w:t xml:space="preserve">自合同签订之日起</w:t>
      </w:r>
      <w:r>
        <w:rPr>
          <w:rFonts w:hint="eastAsia" w:ascii="宋体" w:hAnsi="宋体" w:eastAsia="宋体" w:cs="宋体"/>
          <w:b w:val="0"/>
          <w:bCs/>
          <w:color w:val="auto"/>
          <w:sz w:val="24"/>
          <w:szCs w:val="28"/>
          <w:highlight w:val="none"/>
          <w:lang w:val="en-US" w:eastAsia="zh-CN"/>
        </w:rPr>
        <w:t xml:space="preserve">120天</w:t>
      </w:r>
      <w:r>
        <w:rPr>
          <w:rFonts w:hint="eastAsia" w:ascii="宋体" w:hAnsi="宋体" w:eastAsia="宋体" w:cs="宋体"/>
          <w:b w:val="0"/>
          <w:bCs/>
          <w:color w:val="auto"/>
          <w:sz w:val="24"/>
          <w:szCs w:val="28"/>
          <w:highlight w:val="none"/>
        </w:rPr>
        <w:t xml:space="preserve">内完成所有软件系统的开发、安装部署、测试等工作，完成初验并进入试运行阶段，试运行3个月后系统最终验收</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验收合格后交付</w:t>
      </w:r>
      <w:r>
        <w:rPr>
          <w:rFonts w:hint="eastAsia" w:ascii="宋体" w:hAnsi="宋体" w:eastAsia="宋体" w:cs="宋体"/>
          <w:b w:val="0"/>
          <w:bCs/>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2.付款方式</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（1）合同签订生效后，</w:t>
      </w:r>
      <w:r>
        <w:rPr>
          <w:rFonts w:hint="eastAsia" w:ascii="宋体" w:hAnsi="宋体" w:eastAsia="宋体" w:cs="宋体"/>
          <w:b w:val="0"/>
          <w:bCs w:val="0"/>
          <w:color w:val="auto"/>
          <w:sz w:val="24"/>
          <w:szCs w:val="24"/>
          <w:highlight w:val="none"/>
          <w:lang w:val="en-US" w:eastAsia="zh-CN"/>
        </w:rPr>
        <w:t xml:space="preserve">甲方在收到增值税发票后10</w:t>
      </w:r>
      <w:r>
        <w:rPr>
          <w:rFonts w:hint="eastAsia" w:ascii="宋体" w:hAnsi="宋体" w:eastAsia="宋体" w:cs="宋体"/>
          <w:b w:val="0"/>
          <w:bCs w:val="0"/>
          <w:color w:val="auto"/>
          <w:sz w:val="24"/>
          <w:szCs w:val="24"/>
          <w:highlight w:val="none"/>
        </w:rPr>
        <w:t xml:space="preserve">个工作日内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甲方支付合同总价的</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w:t>
      </w:r>
      <w:r>
        <w:rPr>
          <w:rFonts w:hint="eastAsia" w:ascii="宋体" w:hAnsi="宋体" w:eastAsia="宋体" w:cs="宋体"/>
          <w:b w:val="0"/>
          <w:bCs w:val="0"/>
          <w:color w:val="auto"/>
          <w:sz w:val="24"/>
          <w:szCs w:val="24"/>
          <w:highlight w:val="none"/>
          <w:lang w:val="en-US" w:eastAsia="zh-CN"/>
        </w:rPr>
        <w:t xml:space="preserve">作为预付款</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完成</w:t>
      </w:r>
      <w:r>
        <w:rPr>
          <w:rFonts w:hint="eastAsia" w:ascii="宋体" w:hAnsi="宋体" w:eastAsia="宋体" w:cs="宋体"/>
          <w:color w:val="auto"/>
          <w:sz w:val="24"/>
          <w:szCs w:val="24"/>
          <w:highlight w:val="none"/>
        </w:rPr>
        <w:t xml:space="preserve">城市体检</w:t>
      </w:r>
      <w:r>
        <w:rPr>
          <w:rFonts w:hint="eastAsia" w:ascii="宋体" w:hAnsi="宋体" w:eastAsia="宋体" w:cs="宋体"/>
          <w:color w:val="auto"/>
          <w:sz w:val="24"/>
          <w:szCs w:val="24"/>
          <w:highlight w:val="none"/>
          <w:lang w:eastAsia="zh-CN"/>
        </w:rPr>
        <w:t xml:space="preserve">子系统</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城市</w:t>
      </w:r>
      <w:r>
        <w:rPr>
          <w:rFonts w:hint="eastAsia" w:ascii="宋体" w:hAnsi="宋体" w:eastAsia="宋体" w:cs="宋体"/>
          <w:color w:val="auto"/>
          <w:sz w:val="24"/>
          <w:szCs w:val="24"/>
          <w:highlight w:val="none"/>
        </w:rPr>
        <w:t xml:space="preserve">更新项目信息管理系统</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系统开发、部署，</w:t>
      </w:r>
      <w:r>
        <w:rPr>
          <w:rFonts w:hint="eastAsia" w:ascii="宋体" w:hAnsi="宋体" w:cs="宋体"/>
          <w:bCs/>
          <w:color w:val="auto"/>
          <w:sz w:val="24"/>
          <w:highlight w:val="none"/>
        </w:rPr>
        <w:t xml:space="preserve">试运行</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个月</w:t>
      </w:r>
      <w:r>
        <w:rPr>
          <w:rFonts w:hint="eastAsia" w:ascii="宋体" w:hAnsi="宋体" w:eastAsia="宋体" w:cs="宋体"/>
          <w:b w:val="0"/>
          <w:bCs w:val="0"/>
          <w:color w:val="auto"/>
          <w:sz w:val="24"/>
          <w:szCs w:val="24"/>
          <w:highlight w:val="none"/>
        </w:rPr>
        <w:t xml:space="preserve">并通过甲方组织的验收</w:t>
      </w:r>
      <w:r>
        <w:rPr>
          <w:rFonts w:hint="eastAsia" w:ascii="宋体" w:hAnsi="宋体" w:eastAsia="宋体" w:cs="宋体"/>
          <w:b w:val="0"/>
          <w:bCs w:val="0"/>
          <w:color w:val="auto"/>
          <w:sz w:val="24"/>
          <w:szCs w:val="24"/>
          <w:highlight w:val="none"/>
          <w:lang w:val="en-US" w:eastAsia="zh-CN"/>
        </w:rPr>
        <w:t xml:space="preserve">合格</w:t>
      </w:r>
      <w:r>
        <w:rPr>
          <w:rFonts w:hint="eastAsia" w:ascii="宋体" w:hAnsi="宋体" w:eastAsia="宋体" w:cs="宋体"/>
          <w:b w:val="0"/>
          <w:bCs w:val="0"/>
          <w:color w:val="auto"/>
          <w:sz w:val="24"/>
          <w:szCs w:val="24"/>
          <w:highlight w:val="none"/>
          <w:lang w:eastAsia="zh-CN"/>
        </w:rPr>
        <w:t xml:space="preserve">后</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甲方在收到增值税发票后10</w:t>
      </w:r>
      <w:r>
        <w:rPr>
          <w:rFonts w:hint="eastAsia" w:ascii="宋体" w:hAnsi="宋体" w:eastAsia="宋体" w:cs="宋体"/>
          <w:b w:val="0"/>
          <w:bCs w:val="0"/>
          <w:color w:val="auto"/>
          <w:sz w:val="24"/>
          <w:szCs w:val="24"/>
          <w:highlight w:val="none"/>
        </w:rPr>
        <w:t xml:space="preserve">个工作日内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付</w:t>
      </w:r>
      <w:r>
        <w:rPr>
          <w:rFonts w:hint="eastAsia" w:ascii="宋体" w:hAnsi="宋体" w:eastAsia="宋体" w:cs="宋体"/>
          <w:b w:val="0"/>
          <w:bCs w:val="0"/>
          <w:color w:val="auto"/>
          <w:sz w:val="24"/>
          <w:szCs w:val="24"/>
          <w:highlight w:val="none"/>
          <w:lang w:val="en-US" w:eastAsia="zh-CN"/>
        </w:rPr>
        <w:t xml:space="preserve">至</w:t>
      </w:r>
      <w:r>
        <w:rPr>
          <w:rFonts w:hint="eastAsia" w:ascii="宋体" w:hAnsi="宋体" w:eastAsia="宋体" w:cs="宋体"/>
          <w:b w:val="0"/>
          <w:bCs w:val="0"/>
          <w:color w:val="auto"/>
          <w:sz w:val="24"/>
          <w:szCs w:val="24"/>
          <w:highlight w:val="none"/>
        </w:rPr>
        <w:t xml:space="preserve">合同总价的</w:t>
      </w:r>
      <w:r>
        <w:rPr>
          <w:rFonts w:hint="eastAsia" w:ascii="宋体" w:hAnsi="宋体" w:eastAsia="宋体" w:cs="宋体"/>
          <w:b w:val="0"/>
          <w:bCs w:val="0"/>
          <w:color w:val="auto"/>
          <w:sz w:val="24"/>
          <w:szCs w:val="24"/>
          <w:highlight w:val="none"/>
          <w:lang w:val="en-US" w:eastAsia="zh-CN"/>
        </w:rPr>
        <w:t xml:space="preserve">90%</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bCs/>
          <w:color w:val="auto"/>
          <w:sz w:val="24"/>
          <w:highlight w:val="none"/>
        </w:rPr>
        <w:t xml:space="preserve">余款待项目维护期满后1个月</w:t>
      </w:r>
      <w:r>
        <w:rPr>
          <w:rFonts w:hint="eastAsia" w:ascii="宋体" w:hAnsi="宋体" w:eastAsia="宋体" w:cs="宋体"/>
          <w:bCs/>
          <w:color w:val="auto"/>
          <w:sz w:val="24"/>
          <w:highlight w:val="none"/>
          <w:lang w:eastAsia="zh-CN"/>
        </w:rPr>
        <w:t xml:space="preserve">，</w:t>
      </w:r>
      <w:r>
        <w:rPr>
          <w:rFonts w:hint="eastAsia" w:ascii="宋体" w:hAnsi="宋体" w:cs="宋体"/>
          <w:b w:val="0"/>
          <w:bCs w:val="0"/>
          <w:color w:val="auto"/>
          <w:sz w:val="24"/>
          <w:szCs w:val="24"/>
          <w:highlight w:val="none"/>
          <w:lang w:val="en-US" w:eastAsia="zh-CN"/>
        </w:rPr>
        <w:t xml:space="preserve">甲方在收到发票后10</w:t>
      </w:r>
      <w:r>
        <w:rPr>
          <w:rFonts w:hint="eastAsia" w:ascii="宋体" w:hAnsi="宋体" w:eastAsia="宋体" w:cs="宋体"/>
          <w:b w:val="0"/>
          <w:bCs w:val="0"/>
          <w:color w:val="auto"/>
          <w:sz w:val="24"/>
          <w:szCs w:val="24"/>
          <w:highlight w:val="none"/>
        </w:rPr>
        <w:t xml:space="preserve">个工作日内，甲方</w:t>
      </w:r>
      <w:r>
        <w:rPr>
          <w:rFonts w:hint="eastAsia" w:ascii="宋体" w:hAnsi="宋体" w:eastAsia="宋体" w:cs="宋体"/>
          <w:b w:val="0"/>
          <w:bCs w:val="0"/>
          <w:color w:val="auto"/>
          <w:sz w:val="24"/>
          <w:szCs w:val="24"/>
          <w:highlight w:val="none"/>
          <w:u w:val="none"/>
        </w:rPr>
        <w:t xml:space="preserve">付清货款</w:t>
      </w:r>
      <w:r>
        <w:rPr>
          <w:rFonts w:hint="eastAsia" w:ascii="宋体" w:hAnsi="宋体" w:cs="宋体"/>
          <w:bCs/>
          <w:color w:val="auto"/>
          <w:sz w:val="24"/>
          <w:highlight w:val="none"/>
        </w:rPr>
        <w:t xml:space="preserve">。</w:t>
      </w:r>
      <w:r/>
    </w:p>
    <w:p>
      <w:pPr>
        <w:ind w:firstLine="460"/>
        <w:keepLines w:val="0"/>
        <w:keepNext w:val="0"/>
        <w:pageBreakBefore w:val="0"/>
        <w:spacing w:line="360" w:lineRule="auto"/>
        <w:rPr>
          <w:rFonts w:hint="eastAsia" w:ascii="宋体" w:hAnsi="宋体" w:eastAsia="宋体" w:cs="宋体"/>
          <w:b w:val="0"/>
          <w:bCs/>
          <w:i w:val="0"/>
          <w:iCs w:val="0"/>
          <w:color w:val="auto"/>
          <w:spacing w:val="-5"/>
          <w:sz w:val="24"/>
          <w:highlight w:val="none"/>
          <w:u w:val="none"/>
          <w:lang w:val="en-US" w:eastAsia="zh-CN"/>
        </w:rPr>
      </w:pPr>
      <w:r>
        <w:rPr>
          <w:rFonts w:hint="eastAsia" w:ascii="宋体" w:hAnsi="宋体" w:eastAsia="宋体" w:cs="宋体"/>
          <w:b w:val="0"/>
          <w:bCs/>
          <w:i w:val="0"/>
          <w:iCs w:val="0"/>
          <w:color w:val="auto"/>
          <w:spacing w:val="-5"/>
          <w:sz w:val="24"/>
          <w:highlight w:val="none"/>
          <w:u w:val="none"/>
          <w:lang w:val="en-US" w:eastAsia="zh-CN"/>
        </w:rPr>
        <w:t xml:space="preserve">3.本项目提供的软件须为当前最新版本，提供终身质保和二年免费升级维护服务，质量保证期从最终验收合格之日起计算，具体质保要求如下：</w:t>
      </w:r>
      <w:r/>
    </w:p>
    <w:p>
      <w:pPr>
        <w:ind w:firstLine="460"/>
        <w:keepLines w:val="0"/>
        <w:keepNext w:val="0"/>
        <w:pageBreakBefore w:val="0"/>
        <w:spacing w:line="360" w:lineRule="auto"/>
        <w:rPr>
          <w:rFonts w:hint="eastAsia" w:ascii="宋体" w:hAnsi="宋体" w:eastAsia="宋体" w:cs="宋体"/>
          <w:b w:val="0"/>
          <w:bCs/>
          <w:i w:val="0"/>
          <w:iCs w:val="0"/>
          <w:color w:val="auto"/>
          <w:spacing w:val="-5"/>
          <w:sz w:val="24"/>
          <w:highlight w:val="none"/>
          <w:u w:val="none"/>
          <w:lang w:val="en-US" w:eastAsia="zh-CN"/>
        </w:rPr>
      </w:pPr>
      <w:r>
        <w:rPr>
          <w:rFonts w:hint="eastAsia" w:ascii="宋体" w:hAnsi="宋体" w:eastAsia="宋体" w:cs="宋体"/>
          <w:b w:val="0"/>
          <w:bCs/>
          <w:i w:val="0"/>
          <w:iCs w:val="0"/>
          <w:color w:val="auto"/>
          <w:spacing w:val="-5"/>
          <w:sz w:val="24"/>
          <w:highlight w:val="none"/>
          <w:u w:val="none"/>
          <w:lang w:val="en-US" w:eastAsia="zh-CN"/>
        </w:rPr>
        <w:t xml:space="preserve">①在免费升级运维期内：应按采购人要求免费提供系统版本更新升级服务、系统软件应用和维护技术咨询服务、提供电话或现场技术服务等。中标人须确保7x24小时全天候技术支持，免费质量保证期内软件一旦出现故障，中标人电话响应时间不超过1小时，如电话沟通不能解决，必须在24小时内到现场解决。</w:t>
      </w:r>
      <w:r/>
    </w:p>
    <w:p>
      <w:pPr>
        <w:ind w:left="420"/>
        <w:jc w:val="left"/>
        <w:keepLines w:val="0"/>
        <w:keepNext w:val="0"/>
        <w:pageBreakBefore w:val="0"/>
        <w:spacing w:line="360" w:lineRule="auto"/>
        <w:widowControl/>
        <w:rPr>
          <w:rFonts w:hint="eastAsia" w:ascii="宋体" w:hAnsi="宋体" w:eastAsia="宋体" w:cs="宋体"/>
          <w:b w:val="0"/>
          <w:bCs/>
          <w:i w:val="0"/>
          <w:iCs w:val="0"/>
          <w:color w:val="auto"/>
          <w:spacing w:val="-5"/>
          <w:sz w:val="24"/>
          <w:highlight w:val="none"/>
          <w:u w:val="none"/>
          <w:lang w:val="en-US" w:eastAsia="zh-CN"/>
        </w:rPr>
      </w:pPr>
      <w:r>
        <w:rPr>
          <w:rFonts w:hint="eastAsia" w:ascii="宋体" w:hAnsi="宋体" w:eastAsia="宋体" w:cs="宋体"/>
          <w:b w:val="0"/>
          <w:bCs/>
          <w:i w:val="0"/>
          <w:iCs w:val="0"/>
          <w:color w:val="auto"/>
          <w:spacing w:val="-5"/>
          <w:sz w:val="24"/>
          <w:highlight w:val="none"/>
          <w:u w:val="none"/>
          <w:lang w:val="en-US" w:eastAsia="zh-CN"/>
        </w:rPr>
        <w:t xml:space="preserve">②在免费升级运维期外：免费质量保证期结束后，中标人仍应对产品提供有偿</w:t>
      </w:r>
      <w:r/>
    </w:p>
    <w:p>
      <w:pPr>
        <w:jc w:val="left"/>
        <w:keepLines w:val="0"/>
        <w:keepNext w:val="0"/>
        <w:pageBreakBefore w:val="0"/>
        <w:spacing w:line="360" w:lineRule="auto"/>
        <w:widowControl/>
        <w:rPr>
          <w:rFonts w:hint="eastAsia" w:ascii="宋体" w:hAnsi="宋体" w:eastAsia="宋体" w:cs="宋体"/>
          <w:b w:val="0"/>
          <w:bCs/>
          <w:i w:val="0"/>
          <w:iCs w:val="0"/>
          <w:color w:val="auto"/>
          <w:spacing w:val="-5"/>
          <w:sz w:val="24"/>
          <w:highlight w:val="none"/>
          <w:u w:val="none"/>
          <w:lang w:val="en-US" w:eastAsia="zh-CN"/>
        </w:rPr>
      </w:pPr>
      <w:r>
        <w:rPr>
          <w:rFonts w:hint="eastAsia" w:ascii="宋体" w:hAnsi="宋体" w:eastAsia="宋体" w:cs="宋体"/>
          <w:b w:val="0"/>
          <w:bCs/>
          <w:i w:val="0"/>
          <w:iCs w:val="0"/>
          <w:color w:val="auto"/>
          <w:spacing w:val="-5"/>
          <w:sz w:val="24"/>
          <w:highlight w:val="none"/>
          <w:u w:val="none"/>
          <w:lang w:val="en-US" w:eastAsia="zh-CN"/>
        </w:rPr>
        <w:t xml:space="preserve">维护及升级服务，相关服务须满足采购人要求；出现问题时，中标人必须在1小</w:t>
      </w:r>
      <w:r/>
    </w:p>
    <w:p>
      <w:pPr>
        <w:jc w:val="left"/>
        <w:keepLines w:val="0"/>
        <w:keepNext w:val="0"/>
        <w:pageBreakBefore w:val="0"/>
        <w:spacing w:line="360" w:lineRule="auto"/>
        <w:widowControl/>
        <w:rPr>
          <w:rFonts w:hint="eastAsia" w:ascii="宋体" w:hAnsi="宋体" w:eastAsia="宋体" w:cs="宋体"/>
          <w:b w:val="0"/>
          <w:bCs/>
          <w:i w:val="0"/>
          <w:iCs w:val="0"/>
          <w:color w:val="auto"/>
          <w:spacing w:val="-5"/>
          <w:sz w:val="24"/>
          <w:highlight w:val="none"/>
          <w:u w:val="none"/>
          <w:lang w:val="en-US" w:eastAsia="zh-CN"/>
        </w:rPr>
      </w:pPr>
      <w:r>
        <w:rPr>
          <w:rFonts w:hint="eastAsia" w:ascii="宋体" w:hAnsi="宋体" w:eastAsia="宋体" w:cs="宋体"/>
          <w:b w:val="0"/>
          <w:bCs/>
          <w:i w:val="0"/>
          <w:iCs w:val="0"/>
          <w:color w:val="auto"/>
          <w:spacing w:val="-5"/>
          <w:sz w:val="24"/>
          <w:highlight w:val="none"/>
          <w:u w:val="none"/>
          <w:lang w:val="en-US" w:eastAsia="zh-CN"/>
        </w:rPr>
        <w:t xml:space="preserve">时内电话响应（如电话沟通可以解决则不收取人工服务费），如电话沟通不能解</w:t>
      </w:r>
      <w:r/>
    </w:p>
    <w:p>
      <w:pPr>
        <w:jc w:val="left"/>
        <w:keepLines w:val="0"/>
        <w:keepNext w:val="0"/>
        <w:pageBreakBefore w:val="0"/>
        <w:spacing w:line="360" w:lineRule="auto"/>
        <w:widowControl/>
        <w:rPr>
          <w:rFonts w:hint="eastAsia" w:ascii="宋体" w:hAnsi="宋体" w:eastAsia="宋体" w:cs="宋体"/>
          <w:b w:val="0"/>
          <w:bCs/>
          <w:i w:val="0"/>
          <w:iCs w:val="0"/>
          <w:color w:val="auto"/>
          <w:spacing w:val="-5"/>
          <w:sz w:val="24"/>
          <w:highlight w:val="none"/>
          <w:u w:val="none"/>
          <w:lang w:val="en-US" w:eastAsia="zh-CN"/>
        </w:rPr>
      </w:pPr>
      <w:r>
        <w:rPr>
          <w:rFonts w:hint="eastAsia" w:ascii="宋体" w:hAnsi="宋体" w:eastAsia="宋体" w:cs="宋体"/>
          <w:b w:val="0"/>
          <w:bCs/>
          <w:i w:val="0"/>
          <w:iCs w:val="0"/>
          <w:color w:val="auto"/>
          <w:spacing w:val="-5"/>
          <w:sz w:val="24"/>
          <w:highlight w:val="none"/>
          <w:u w:val="none"/>
          <w:lang w:val="en-US" w:eastAsia="zh-CN"/>
        </w:rPr>
        <w:t xml:space="preserve">决须在24小时内到现场解决，并保证以不高于行业和市场行情的价格收取成本费</w:t>
      </w:r>
      <w:r/>
    </w:p>
    <w:p>
      <w:pPr>
        <w:jc w:val="left"/>
        <w:keepLines w:val="0"/>
        <w:keepNext w:val="0"/>
        <w:pageBreakBefore w:val="0"/>
        <w:spacing w:line="360" w:lineRule="auto"/>
        <w:widowControl/>
        <w:rPr>
          <w:rFonts w:hint="eastAsia" w:ascii="宋体" w:hAnsi="宋体" w:eastAsia="宋体" w:cs="宋体"/>
          <w:b w:val="0"/>
          <w:bCs/>
          <w:color w:val="auto"/>
          <w:sz w:val="28"/>
          <w:szCs w:val="28"/>
          <w:highlight w:val="none"/>
          <w:u w:val="none"/>
          <w:lang w:bidi="ar"/>
        </w:rPr>
      </w:pPr>
      <w:r>
        <w:rPr>
          <w:rFonts w:hint="eastAsia" w:ascii="宋体" w:hAnsi="宋体" w:eastAsia="宋体" w:cs="宋体"/>
          <w:b w:val="0"/>
          <w:bCs/>
          <w:i w:val="0"/>
          <w:iCs w:val="0"/>
          <w:color w:val="auto"/>
          <w:spacing w:val="-5"/>
          <w:sz w:val="24"/>
          <w:highlight w:val="none"/>
          <w:u w:val="none"/>
          <w:lang w:val="en-US" w:eastAsia="zh-CN"/>
        </w:rPr>
        <w:t xml:space="preserve">用。</w:t>
      </w:r>
      <w:r/>
    </w:p>
    <w:p>
      <w:pPr>
        <w:pStyle w:val="867"/>
        <w:ind w:firstLine="562"/>
        <w:jc w:val="both"/>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十一、踏勘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供应商在报价时应充分考虑现场实际情况，如有需要，</w:t>
      </w:r>
      <w:r>
        <w:rPr>
          <w:rFonts w:hint="eastAsia" w:ascii="宋体" w:hAnsi="宋体" w:eastAsia="宋体" w:cs="宋体"/>
          <w:color w:val="auto"/>
          <w:sz w:val="24"/>
          <w:szCs w:val="24"/>
          <w:highlight w:val="none"/>
          <w:u w:val="none"/>
          <w:lang w:eastAsia="zh-CN"/>
        </w:rPr>
        <w:t xml:space="preserve">供应商</w:t>
      </w:r>
      <w:r>
        <w:rPr>
          <w:rFonts w:hint="eastAsia" w:ascii="宋体" w:hAnsi="宋体" w:eastAsia="宋体" w:cs="宋体"/>
          <w:color w:val="auto"/>
          <w:sz w:val="24"/>
          <w:szCs w:val="24"/>
          <w:highlight w:val="none"/>
          <w:u w:val="none"/>
        </w:rPr>
        <w:t xml:space="preserve">可自行到项目现场进行踏勘实训场地情况。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w:t>
      </w:r>
      <w:r/>
    </w:p>
    <w:p>
      <w:pPr>
        <w:ind w:left="420"/>
        <w:jc w:val="left"/>
        <w:keepLines w:val="0"/>
        <w:keepNext w:val="0"/>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供应商踏勘现场发生的费用自理，供应商自行负责在踏勘现场中所发生</w:t>
      </w:r>
      <w:r/>
    </w:p>
    <w:p>
      <w:pPr>
        <w:jc w:val="left"/>
        <w:keepLines w:val="0"/>
        <w:keepNext w:val="0"/>
        <w:pageBreakBefore w:val="0"/>
        <w:spacing w:line="360" w:lineRule="auto"/>
        <w:widowControl/>
        <w:rPr>
          <w:rFonts w:hint="eastAsia" w:ascii="宋体" w:hAnsi="宋体" w:eastAsia="宋体" w:cs="宋体"/>
          <w:bCs/>
          <w:color w:val="auto"/>
          <w:sz w:val="28"/>
          <w:szCs w:val="28"/>
          <w:highlight w:val="none"/>
          <w:lang w:bidi="ar"/>
        </w:rPr>
      </w:pPr>
      <w:r>
        <w:rPr>
          <w:rFonts w:hint="eastAsia" w:ascii="宋体" w:hAnsi="宋体" w:eastAsia="宋体" w:cs="宋体"/>
          <w:color w:val="auto"/>
          <w:sz w:val="24"/>
          <w:szCs w:val="24"/>
          <w:highlight w:val="none"/>
          <w:u w:val="none"/>
        </w:rPr>
        <w:t xml:space="preserve">的人员伤亡和财产损失。</w:t>
      </w:r>
      <w:r/>
    </w:p>
    <w:p>
      <w:pPr>
        <w:ind w:left="420"/>
        <w:jc w:val="left"/>
        <w:keepLines w:val="0"/>
        <w:keepNext w:val="0"/>
        <w:pageBreakBefore w:val="0"/>
        <w:spacing w:line="360" w:lineRule="auto"/>
        <w:widowControl/>
        <w:rPr>
          <w:rFonts w:hint="eastAsia" w:ascii="宋体" w:hAnsi="宋体" w:eastAsia="宋体" w:cs="宋体"/>
          <w:b/>
          <w:bCs w:val="0"/>
          <w:color w:val="auto"/>
          <w:sz w:val="28"/>
          <w:szCs w:val="28"/>
          <w:highlight w:val="none"/>
          <w:lang w:bidi="ar"/>
        </w:rPr>
      </w:pPr>
      <w:r>
        <w:rPr>
          <w:rFonts w:hint="eastAsia" w:ascii="宋体" w:hAnsi="宋体" w:eastAsia="宋体" w:cs="宋体"/>
          <w:b/>
          <w:bCs w:val="0"/>
          <w:color w:val="auto"/>
          <w:sz w:val="28"/>
          <w:szCs w:val="28"/>
          <w:highlight w:val="none"/>
          <w:lang w:val="en-US" w:eastAsia="zh-CN" w:bidi="ar"/>
        </w:rPr>
        <w:t xml:space="preserve">十二</w:t>
      </w:r>
      <w:r>
        <w:rPr>
          <w:rFonts w:hint="eastAsia" w:ascii="宋体" w:hAnsi="宋体" w:eastAsia="宋体" w:cs="宋体"/>
          <w:b/>
          <w:bCs w:val="0"/>
          <w:color w:val="auto"/>
          <w:sz w:val="28"/>
          <w:szCs w:val="28"/>
          <w:highlight w:val="none"/>
          <w:lang w:bidi="ar"/>
        </w:rPr>
        <w:t xml:space="preserve">、其他要求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1.采购的项目所涉及的产品标准、规范、验收标准等应符合国家有关条例及规范，如有新的标准应采纳新标准，如是国外相应标准应征得招标人认可。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2.投标供应商须对报价文件中涉及产品的专利负责，并保证不伤害采购单位的利益。在法律范围内，所有文字、商标和技术侵权造成的相关费用，采购方概不负责。</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3.投标供应商提供的</w:t>
      </w:r>
      <w:r>
        <w:rPr>
          <w:rFonts w:hint="eastAsia" w:ascii="宋体" w:hAnsi="宋体" w:eastAsia="宋体" w:cs="宋体"/>
          <w:color w:val="auto"/>
          <w:sz w:val="24"/>
          <w:szCs w:val="24"/>
          <w:highlight w:val="none"/>
          <w:lang w:eastAsia="zh-CN"/>
        </w:rPr>
        <w:t xml:space="preserve">来自</w:t>
      </w:r>
      <w:r>
        <w:rPr>
          <w:rFonts w:hint="eastAsia" w:ascii="宋体" w:hAnsi="宋体" w:eastAsia="宋体" w:cs="宋体"/>
          <w:color w:val="auto"/>
          <w:sz w:val="24"/>
          <w:szCs w:val="24"/>
          <w:highlight w:val="none"/>
        </w:rPr>
        <w:t xml:space="preserve">或属于第三方的软件，如操作系统、数据库、中间件等，须具有合法的所有权、版权和使用权。</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shd w:val="clear" w:color="auto" w:fill="auto"/>
          <w:lang w:eastAsia="zh-CN"/>
        </w:rPr>
        <w:t xml:space="preserve">盐城市智慧住建综合管理平台（城市体检与更新子系统）项目</w:t>
      </w:r>
      <w:r>
        <w:rPr>
          <w:rFonts w:hint="eastAsia" w:ascii="宋体" w:hAnsi="宋体" w:eastAsia="宋体" w:cs="宋体"/>
          <w:color w:val="auto"/>
          <w:sz w:val="24"/>
          <w:szCs w:val="24"/>
          <w:highlight w:val="none"/>
        </w:rPr>
        <w:t xml:space="preserve">的软件著作权和版权归采购方所有。</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供应商的投标报价必须包含本项目软测（性能、功能和压力）费用。</w:t>
      </w:r>
      <w:r/>
    </w:p>
    <w:p>
      <w:pPr>
        <w:pStyle w:val="867"/>
        <w:ind w:firstLine="562"/>
        <w:jc w:val="both"/>
        <w:keepLines w:val="0"/>
        <w:keepNext w:val="0"/>
        <w:pageBreakBefore w:val="0"/>
        <w:spacing w:beforeAutospacing="0" w:afterAutospacing="0" w:line="360" w:lineRule="auto"/>
        <w:widowControl w:val="off"/>
        <w:rPr>
          <w:rFonts w:hint="eastAsia" w:ascii="宋体" w:hAnsi="宋体" w:eastAsia="宋体" w:cs="宋体"/>
          <w:b/>
          <w:bCs/>
          <w:i w:val="0"/>
          <w:iCs/>
          <w:color w:val="auto"/>
          <w:sz w:val="28"/>
          <w:szCs w:val="28"/>
          <w:highlight w:val="none"/>
          <w:lang w:val="en-US" w:eastAsia="zh-CN"/>
        </w:rPr>
      </w:pPr>
      <w:r>
        <w:rPr>
          <w:rFonts w:hint="eastAsia" w:ascii="宋体" w:hAnsi="宋体" w:eastAsia="宋体" w:cs="宋体"/>
          <w:b/>
          <w:bCs/>
          <w:i w:val="0"/>
          <w:iCs/>
          <w:color w:val="auto"/>
          <w:sz w:val="28"/>
          <w:szCs w:val="28"/>
          <w:highlight w:val="none"/>
          <w:u w:val="none"/>
          <w:lang w:val="en-US" w:eastAsia="zh-CN"/>
        </w:rPr>
        <w:t xml:space="preserve">十三、</w:t>
      </w:r>
      <w:r>
        <w:rPr>
          <w:rFonts w:hint="eastAsia" w:ascii="宋体" w:hAnsi="宋体" w:eastAsia="宋体" w:cs="宋体"/>
          <w:b/>
          <w:bCs/>
          <w:i w:val="0"/>
          <w:iCs/>
          <w:color w:val="auto"/>
          <w:sz w:val="28"/>
          <w:szCs w:val="28"/>
          <w:highlight w:val="none"/>
          <w:u w:val="single"/>
        </w:rPr>
        <w:t xml:space="preserve">本项目不接受进口产品投标。</w:t>
      </w:r>
      <w:r/>
    </w:p>
    <w:p>
      <w:pPr>
        <w:pStyle w:val="867"/>
        <w:ind w:firstLine="562"/>
        <w:jc w:val="both"/>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十四、采购标的对应的中小企业划分标准所属行业一览表</w:t>
      </w:r>
      <w:r/>
    </w:p>
    <w:tbl>
      <w:tblPr>
        <w:tblStyle w:val="860"/>
        <w:tblW w:w="829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2"/>
        <w:gridCol w:w="4500"/>
        <w:gridCol w:w="2934"/>
      </w:tblGrid>
      <w:tr>
        <w:trPr>
          <w:jc w:val="center"/>
          <w:tblCellSpacing w:w="0" w:type="dxa"/>
          <w:trHeight w:val="70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67"/>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67"/>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867"/>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1022"/>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67"/>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67"/>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盐城市智慧住建综合管理平台（城市体检与更新子系统）项目</w:t>
            </w:r>
            <w:r/>
          </w:p>
        </w:tc>
        <w:tc>
          <w:tcPr>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867"/>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软件和信息技术服务业</w:t>
            </w:r>
            <w:r/>
          </w:p>
        </w:tc>
      </w:tr>
    </w:tbl>
    <w:p>
      <w:pPr>
        <w:pStyle w:val="86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7"/>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黑体" w:hAnsi="宋体" w:eastAsia="黑体" w:cs="黑体"/>
          <w:color w:val="000000"/>
          <w:sz w:val="44"/>
          <w:szCs w:val="44"/>
          <w:highlight w:val="none"/>
        </w:rPr>
        <w:br w:type="page" w:clear="all"/>
      </w:r>
      <w:r>
        <w:rPr>
          <w:rFonts w:hint="eastAsia" w:ascii="宋体" w:hAnsi="宋体" w:eastAsia="宋体" w:cs="宋体"/>
          <w:sz w:val="24"/>
          <w:szCs w:val="24"/>
          <w:highlight w:val="none"/>
        </w:rPr>
      </w:r>
      <w:r/>
    </w:p>
    <w:p>
      <w:pPr>
        <w:pStyle w:val="867"/>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67"/>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7"/>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75"/>
        <w:ind w:firstLine="360"/>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67"/>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67"/>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67"/>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67"/>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67"/>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67"/>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67"/>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4"/>
          <w:highlight w:val="none"/>
        </w:rPr>
        <w:t xml:space="preserve">本项目评分总分值为100分。</w:t>
      </w:r>
      <w:r/>
    </w:p>
    <w:tbl>
      <w:tblPr>
        <w:tblStyle w:val="860"/>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3"/>
        <w:gridCol w:w="1527"/>
        <w:gridCol w:w="1220"/>
        <w:gridCol w:w="5747"/>
      </w:tblGrid>
      <w:tr>
        <w:trPr>
          <w:jc w:val="center"/>
          <w:trHeight w:val="23"/>
        </w:trPr>
        <w:tc>
          <w:tcPr>
            <w:shd w:val="clear" w:color="auto" w:fill="auto"/>
            <w:tcW w:w="7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序号</w:t>
            </w:r>
            <w:r/>
          </w:p>
        </w:tc>
        <w:tc>
          <w:tcPr>
            <w:shd w:val="clear" w:color="auto" w:fill="auto"/>
            <w:tcW w:w="152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eastAsia="zh-CN"/>
              </w:rPr>
              <w:t xml:space="preserve">类别</w:t>
            </w:r>
            <w:r/>
          </w:p>
        </w:tc>
        <w:tc>
          <w:tcPr>
            <w:shd w:val="clear" w:color="auto" w:fill="auto"/>
            <w:tcW w:w="12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评分</w:t>
            </w:r>
            <w:r/>
          </w:p>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类别</w:t>
            </w:r>
            <w:r/>
          </w:p>
        </w:tc>
        <w:tc>
          <w:tcPr>
            <w:shd w:val="clear" w:color="auto" w:fill="auto"/>
            <w:tcW w:w="574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eastAsia="zh-CN"/>
              </w:rPr>
              <w:t xml:space="preserve">评分细则</w:t>
            </w:r>
            <w:r/>
          </w:p>
        </w:tc>
      </w:tr>
      <w:tr>
        <w:trPr>
          <w:jc w:val="center"/>
          <w:trHeight w:val="23"/>
        </w:trPr>
        <w:tc>
          <w:tcPr>
            <w:shd w:val="clear" w:color="auto" w:fill="auto"/>
            <w:tcW w:w="73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W w:w="152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价格部分(</w:t>
            </w:r>
            <w:r>
              <w:rPr>
                <w:rFonts w:hint="default" w:ascii="宋体" w:hAnsi="宋体" w:eastAsia="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lang w:val="en-US" w:eastAsia="zh-CN"/>
              </w:rPr>
              <w:t xml:space="preserve">分)</w:t>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投标报价(1</w:t>
            </w:r>
            <w:r>
              <w:rPr>
                <w:rFonts w:hint="default" w:ascii="宋体" w:hAnsi="宋体" w:eastAsia="宋体" w:cs="宋体"/>
                <w:i w:val="0"/>
                <w:iCs w:val="0"/>
                <w:color w:val="auto"/>
                <w:sz w:val="24"/>
                <w:szCs w:val="24"/>
                <w:highlight w:val="none"/>
                <w:u w:val="none"/>
                <w:lang w:val="en-US" w:eastAsia="zh-CN"/>
              </w:rPr>
              <w:t xml:space="preserve">0</w:t>
            </w:r>
            <w:r>
              <w:rPr>
                <w:rFonts w:hint="eastAsia" w:ascii="宋体" w:hAnsi="宋体" w:eastAsia="宋体" w:cs="宋体"/>
                <w:i w:val="0"/>
                <w:iCs w:val="0"/>
                <w:color w:val="auto"/>
                <w:sz w:val="24"/>
                <w:szCs w:val="24"/>
                <w:highlight w:val="none"/>
                <w:u w:val="none"/>
                <w:lang w:val="en-US" w:eastAsia="zh-CN"/>
              </w:rPr>
              <w:t xml:space="preserve">分)</w:t>
            </w:r>
            <w:r/>
          </w:p>
        </w:tc>
        <w:tc>
          <w:tcPr>
            <w:shd w:val="clear" w:color="auto" w:fill="auto"/>
            <w:tcW w:w="5747" w:type="dxa"/>
            <w:textDirection w:val="lrTb"/>
            <w:noWrap w:val="false"/>
          </w:tcPr>
          <w:p>
            <w:pPr>
              <w:jc w:val="left"/>
              <w:keepLines w:val="0"/>
              <w:keepNext w:val="0"/>
              <w:pageBreakBefore w:val="0"/>
              <w:spacing w:line="320" w:lineRule="exact"/>
              <w:widowControl/>
              <w:rPr>
                <w:rStyle w:val="878"/>
                <w:rFonts w:hint="eastAsia" w:ascii="宋体" w:hAnsi="宋体" w:eastAsia="宋体" w:cs="宋体"/>
                <w:color w:val="auto"/>
                <w:sz w:val="24"/>
                <w:szCs w:val="24"/>
                <w:highlight w:val="none"/>
                <w:lang w:val="en-US" w:eastAsia="zh-CN"/>
              </w:rPr>
              <w:suppressLineNumbers w:val="0"/>
            </w:pPr>
            <w:r>
              <w:rPr>
                <w:rStyle w:val="878"/>
                <w:rFonts w:hint="eastAsia" w:ascii="宋体" w:hAnsi="宋体" w:eastAsia="宋体" w:cs="宋体"/>
                <w:color w:val="auto"/>
                <w:sz w:val="24"/>
                <w:szCs w:val="24"/>
                <w:highlight w:val="none"/>
                <w:lang w:val="en-US" w:eastAsia="zh-CN"/>
              </w:rPr>
              <w:t xml:space="preserve">1.满足招标文件要求且报价最低的为评审基准价；</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Style w:val="878"/>
                <w:rFonts w:hint="eastAsia" w:ascii="宋体" w:hAnsi="宋体" w:eastAsia="宋体" w:cs="宋体"/>
                <w:color w:val="auto"/>
                <w:sz w:val="24"/>
                <w:szCs w:val="24"/>
                <w:highlight w:val="none"/>
                <w:lang w:val="en-US" w:eastAsia="zh-CN"/>
              </w:rPr>
              <w:t xml:space="preserve">2.投标人价格得分=（评审基准价/投标人报价）×1</w:t>
            </w:r>
            <w:r>
              <w:rPr>
                <w:rStyle w:val="878"/>
                <w:rFonts w:hint="default" w:ascii="宋体" w:hAnsi="宋体" w:eastAsia="宋体" w:cs="宋体"/>
                <w:color w:val="auto"/>
                <w:sz w:val="24"/>
                <w:szCs w:val="24"/>
                <w:highlight w:val="none"/>
                <w:lang w:val="en-US" w:eastAsia="zh-CN"/>
              </w:rPr>
              <w:t xml:space="preserve">0</w:t>
            </w:r>
            <w:r>
              <w:rPr>
                <w:rStyle w:val="878"/>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sz w:val="24"/>
                <w:szCs w:val="24"/>
                <w:highlight w:val="none"/>
              </w:rPr>
              <w:t xml:space="preserve">投标报价得分的计算结果保留2位小数（第3位小数四舍五入）</w:t>
            </w:r>
            <w:r>
              <w:rPr>
                <w:rStyle w:val="878"/>
                <w:rFonts w:hint="eastAsia" w:ascii="宋体" w:hAnsi="宋体" w:eastAsia="宋体" w:cs="宋体"/>
                <w:color w:val="auto"/>
                <w:sz w:val="24"/>
                <w:szCs w:val="24"/>
                <w:highlight w:val="none"/>
                <w:lang w:val="en-US" w:eastAsia="zh-CN"/>
              </w:rPr>
              <w:t xml:space="preserve">）</w:t>
            </w:r>
            <w:r/>
          </w:p>
        </w:tc>
      </w:tr>
      <w:tr>
        <w:trPr>
          <w:jc w:val="center"/>
          <w:trHeight w:val="23"/>
        </w:trPr>
        <w:tc>
          <w:tcPr>
            <w:shd w:val="clear" w:color="auto" w:fill="auto"/>
            <w:tcW w:w="733"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W w:w="1527"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企业综合实力（15分）</w:t>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资质证书(6分)</w:t>
            </w:r>
            <w:r/>
          </w:p>
        </w:tc>
        <w:tc>
          <w:tcPr>
            <w:shd w:val="clear" w:color="auto" w:fill="auto"/>
            <w:tcW w:w="5747" w:type="dxa"/>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i w:val="0"/>
                <w:i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lang w:val="en-US" w:eastAsia="zh-CN" w:bidi="ar-SA"/>
              </w:rPr>
              <w:t xml:space="preserve">投标人具有在开标当日属于有效期内的质量管理体系认证证书、信息安全管理体系认证证书、信息技术服务体系认证证书，每提供一项得2分，最高得6分。</w:t>
            </w:r>
            <w:r/>
          </w:p>
          <w:p>
            <w:pPr>
              <w:numPr>
                <w:ilvl w:val="0"/>
                <w:numId w:val="0"/>
              </w:numPr>
              <w:jc w:val="both"/>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（需提供认证有效期内的证书扫描件，加盖投标人公章，否则不得分）</w:t>
            </w:r>
            <w:r/>
          </w:p>
        </w:tc>
      </w:tr>
      <w:tr>
        <w:trPr>
          <w:jc w:val="center"/>
          <w:trHeight w:val="3566"/>
        </w:trPr>
        <w:tc>
          <w:tcPr>
            <w:shd w:val="clear" w:color="auto" w:fill="auto"/>
            <w:tcW w:w="73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527"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220" w:type="dxa"/>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项目团队（4分）</w:t>
            </w:r>
            <w:r/>
          </w:p>
        </w:tc>
        <w:tc>
          <w:tcPr>
            <w:shd w:val="clear" w:color="auto" w:fill="auto"/>
            <w:tcW w:w="5747" w:type="dxa"/>
            <w:textDirection w:val="lrTb"/>
            <w:noWrap w:val="false"/>
          </w:tcPr>
          <w:p>
            <w:pPr>
              <w:keepLines w:val="0"/>
              <w:keepNext w:val="0"/>
              <w:pageBreakBefore w:val="0"/>
              <w:spacing w:line="320" w:lineRule="exact"/>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t xml:space="preserve">根据投标人对项目团队投入的技术力量进行评分：</w:t>
            </w:r>
            <w:r/>
          </w:p>
          <w:p>
            <w:pPr>
              <w:keepLines w:val="0"/>
              <w:keepNext w:val="0"/>
              <w:pageBreakBefore w:val="0"/>
              <w:spacing w:line="320" w:lineRule="exact"/>
              <w:widowControl/>
              <w:rPr>
                <w:rFonts w:hint="eastAsia" w:ascii="宋体" w:hAnsi="宋体" w:eastAsia="宋体" w:cs="宋体"/>
                <w:bCs/>
                <w:i w:val="0"/>
                <w:iCs w:val="0"/>
                <w:color w:val="auto"/>
                <w:sz w:val="24"/>
                <w:szCs w:val="24"/>
                <w:highlight w:val="none"/>
                <w:u w:val="none"/>
                <w:lang w:val="en-US" w:eastAsia="zh-CN"/>
              </w:rPr>
            </w:pPr>
            <w:r>
              <w:rPr>
                <w:rFonts w:hint="eastAsia" w:ascii="宋体" w:hAnsi="宋体" w:eastAsia="宋体" w:cs="宋体"/>
                <w:bCs/>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项目经理具有信息系统项目管理师、</w:t>
            </w:r>
            <w:r>
              <w:rPr>
                <w:rFonts w:hint="eastAsia" w:ascii="宋体" w:hAnsi="宋体" w:eastAsia="宋体" w:cs="宋体"/>
                <w:bCs/>
                <w:i w:val="0"/>
                <w:iCs w:val="0"/>
                <w:color w:val="auto"/>
                <w:sz w:val="24"/>
                <w:szCs w:val="24"/>
                <w:highlight w:val="none"/>
                <w:u w:val="none"/>
              </w:rPr>
              <w:t xml:space="preserve">软件设计师</w:t>
            </w:r>
            <w:r>
              <w:rPr>
                <w:rFonts w:hint="eastAsia" w:ascii="宋体" w:hAnsi="宋体" w:eastAsia="宋体" w:cs="宋体"/>
                <w:bCs/>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系统分析师证书，具备其中任一个证书得1分，最高得2分。</w:t>
            </w:r>
            <w:r/>
          </w:p>
          <w:p>
            <w:pPr>
              <w:keepLines w:val="0"/>
              <w:keepNext w:val="0"/>
              <w:pageBreakBefore w:val="0"/>
              <w:spacing w:line="320" w:lineRule="exact"/>
              <w:widowControl/>
              <w:rPr>
                <w:rFonts w:hint="eastAsia" w:ascii="宋体" w:hAnsi="宋体" w:eastAsia="宋体" w:cs="宋体"/>
                <w:bCs/>
                <w:i w:val="0"/>
                <w:iCs w:val="0"/>
                <w:color w:val="auto"/>
                <w:sz w:val="24"/>
                <w:szCs w:val="24"/>
                <w:highlight w:val="none"/>
                <w:u w:val="none"/>
                <w:lang w:val="en-US" w:eastAsia="zh-CN"/>
              </w:rPr>
            </w:pPr>
            <w:r>
              <w:rPr>
                <w:rFonts w:hint="eastAsia" w:cs="宋体"/>
                <w:i w:val="0"/>
                <w:iCs w:val="0"/>
                <w:highlight w:val="none"/>
                <w:u w:val="none"/>
                <w:lang w:val="en-US" w:eastAsia="zh-CN"/>
              </w:rPr>
              <w:t xml:space="preserve">2、</w:t>
            </w:r>
            <w:r>
              <w:rPr>
                <w:rFonts w:hint="eastAsia" w:ascii="宋体" w:hAnsi="宋体" w:eastAsia="宋体" w:cs="宋体"/>
                <w:bCs/>
                <w:i w:val="0"/>
                <w:iCs w:val="0"/>
                <w:color w:val="auto"/>
                <w:sz w:val="24"/>
                <w:szCs w:val="24"/>
                <w:highlight w:val="none"/>
                <w:u w:val="none"/>
              </w:rPr>
              <w:t xml:space="preserve">项目团队人员（除项目经理以外）</w:t>
            </w:r>
            <w:r>
              <w:rPr>
                <w:rFonts w:hint="eastAsia" w:ascii="宋体" w:hAnsi="宋体" w:eastAsia="宋体" w:cs="宋体"/>
                <w:bCs/>
                <w:i w:val="0"/>
                <w:iCs w:val="0"/>
                <w:color w:val="auto"/>
                <w:sz w:val="24"/>
                <w:szCs w:val="24"/>
                <w:highlight w:val="none"/>
                <w:u w:val="none"/>
                <w:lang w:val="en-US" w:eastAsia="zh-CN"/>
              </w:rPr>
              <w:t xml:space="preserve">具有</w:t>
            </w:r>
            <w:r>
              <w:rPr>
                <w:rFonts w:hint="eastAsia" w:ascii="宋体" w:hAnsi="宋体" w:eastAsia="宋体" w:cs="宋体"/>
                <w:i w:val="0"/>
                <w:iCs w:val="0"/>
                <w:color w:val="auto"/>
                <w:sz w:val="24"/>
                <w:szCs w:val="24"/>
                <w:highlight w:val="none"/>
                <w:u w:val="none"/>
                <w:lang w:val="en-US" w:eastAsia="zh-CN"/>
              </w:rPr>
              <w:t xml:space="preserve">信息系统项目管理师、</w:t>
            </w:r>
            <w:r>
              <w:rPr>
                <w:rFonts w:hint="eastAsia" w:ascii="宋体" w:hAnsi="宋体" w:eastAsia="宋体" w:cs="宋体"/>
                <w:bCs/>
                <w:i w:val="0"/>
                <w:iCs w:val="0"/>
                <w:color w:val="auto"/>
                <w:sz w:val="24"/>
                <w:szCs w:val="24"/>
                <w:highlight w:val="none"/>
                <w:u w:val="none"/>
              </w:rPr>
              <w:t xml:space="preserve">软件设计师</w:t>
            </w:r>
            <w:r>
              <w:rPr>
                <w:rFonts w:hint="eastAsia" w:ascii="宋体" w:hAnsi="宋体" w:eastAsia="宋体" w:cs="宋体"/>
                <w:bCs/>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系统分析师</w:t>
            </w:r>
            <w:r>
              <w:rPr>
                <w:rFonts w:hint="eastAsia" w:ascii="宋体" w:hAnsi="宋体" w:eastAsia="宋体" w:cs="宋体"/>
                <w:bCs/>
                <w:i w:val="0"/>
                <w:iCs w:val="0"/>
                <w:color w:val="auto"/>
                <w:sz w:val="24"/>
                <w:szCs w:val="24"/>
                <w:highlight w:val="none"/>
                <w:u w:val="none"/>
                <w:lang w:val="en-US" w:eastAsia="zh-CN"/>
              </w:rPr>
              <w:t xml:space="preserve">证书</w:t>
            </w:r>
            <w:r>
              <w:rPr>
                <w:rFonts w:hint="eastAsia" w:ascii="宋体" w:hAnsi="宋体" w:eastAsia="宋体" w:cs="宋体"/>
                <w:bCs/>
                <w:i w:val="0"/>
                <w:iCs w:val="0"/>
                <w:color w:val="auto"/>
                <w:sz w:val="24"/>
                <w:szCs w:val="24"/>
                <w:highlight w:val="none"/>
                <w:u w:val="none"/>
              </w:rPr>
              <w:t xml:space="preserve">，每提供团队成员的1份有效证书得1分，</w:t>
            </w:r>
            <w:r>
              <w:rPr>
                <w:rFonts w:hint="eastAsia" w:ascii="宋体" w:hAnsi="宋体" w:eastAsia="宋体" w:cs="宋体"/>
                <w:bCs/>
                <w:i w:val="0"/>
                <w:iCs w:val="0"/>
                <w:color w:val="auto"/>
                <w:sz w:val="24"/>
                <w:szCs w:val="24"/>
                <w:highlight w:val="none"/>
                <w:u w:val="none"/>
                <w:lang w:val="en-US" w:eastAsia="zh-CN"/>
              </w:rPr>
              <w:t xml:space="preserve">最高得2分；</w:t>
            </w:r>
            <w:r/>
          </w:p>
          <w:p>
            <w:pPr>
              <w:keepLines w:val="0"/>
              <w:keepNext w:val="0"/>
              <w:pageBreakBefore w:val="0"/>
              <w:spacing w:line="320" w:lineRule="exact"/>
              <w:widowControl/>
              <w:rPr>
                <w:rFonts w:hint="eastAsia" w:ascii="宋体" w:hAnsi="宋体" w:eastAsia="宋体" w:cs="宋体"/>
                <w:color w:val="auto"/>
                <w:sz w:val="24"/>
                <w:szCs w:val="24"/>
                <w:highlight w:val="none"/>
                <w:shd w:val="clear" w:color="auto" w:fill="ffff00"/>
                <w:lang w:val="en-US" w:eastAsia="zh-CN"/>
              </w:rPr>
            </w:pPr>
            <w:r>
              <w:rPr>
                <w:rFonts w:hint="eastAsia" w:ascii="宋体" w:hAnsi="宋体" w:eastAsia="宋体" w:cs="宋体"/>
                <w:bCs/>
                <w:color w:val="auto"/>
                <w:sz w:val="24"/>
                <w:szCs w:val="24"/>
                <w:highlight w:val="none"/>
              </w:rPr>
              <w:t xml:space="preserve">（提供人员证书、人员清单及</w:t>
            </w:r>
            <w:r>
              <w:rPr>
                <w:rFonts w:hint="eastAsia" w:ascii="宋体" w:hAnsi="宋体" w:eastAsia="宋体" w:cs="宋体"/>
                <w:bCs/>
                <w:color w:val="auto"/>
                <w:sz w:val="24"/>
                <w:szCs w:val="24"/>
                <w:highlight w:val="none"/>
                <w:lang w:val="en-US" w:eastAsia="zh-CN"/>
              </w:rPr>
              <w:t xml:space="preserve">投标截止日当</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之前三个月</w:t>
            </w:r>
            <w:r>
              <w:rPr>
                <w:rFonts w:hint="eastAsia" w:ascii="宋体" w:hAnsi="宋体" w:eastAsia="宋体" w:cs="宋体"/>
                <w:bCs/>
                <w:color w:val="auto"/>
                <w:sz w:val="24"/>
                <w:szCs w:val="24"/>
                <w:highlight w:val="none"/>
              </w:rPr>
              <w:t xml:space="preserve">内任意一</w:t>
            </w:r>
            <w:r>
              <w:rPr>
                <w:rFonts w:hint="eastAsia" w:ascii="宋体" w:hAnsi="宋体" w:eastAsia="宋体" w:cs="宋体"/>
                <w:bCs/>
                <w:color w:val="auto"/>
                <w:sz w:val="24"/>
                <w:szCs w:val="24"/>
                <w:highlight w:val="none"/>
                <w:lang w:val="en-US" w:eastAsia="zh-CN"/>
              </w:rPr>
              <w:t xml:space="preserve">个月在本单位缴纳养老保险缴费记录证明</w:t>
            </w:r>
            <w:r>
              <w:rPr>
                <w:rFonts w:hint="eastAsia" w:ascii="宋体" w:hAnsi="宋体" w:eastAsia="宋体" w:cs="宋体"/>
                <w:bCs/>
                <w:color w:val="auto"/>
                <w:sz w:val="24"/>
                <w:szCs w:val="24"/>
                <w:highlight w:val="none"/>
              </w:rPr>
              <w:t xml:space="preserve">复印件加盖投标人公章，提供不全不得分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以上人员不得兼任，项目团队成员一人限一本证书得分。</w:t>
            </w:r>
            <w:r>
              <w:rPr>
                <w:rFonts w:hint="eastAsia" w:ascii="宋体" w:hAnsi="宋体" w:eastAsia="宋体" w:cs="宋体"/>
                <w:bCs/>
                <w:color w:val="auto"/>
                <w:sz w:val="24"/>
                <w:szCs w:val="24"/>
                <w:highlight w:val="none"/>
              </w:rPr>
              <w:t xml:space="preserve">）</w:t>
            </w:r>
            <w:r/>
          </w:p>
        </w:tc>
      </w:tr>
      <w:tr>
        <w:trPr>
          <w:jc w:val="center"/>
          <w:trHeight w:val="23"/>
        </w:trPr>
        <w:tc>
          <w:tcPr>
            <w:shd w:val="clear" w:color="auto" w:fill="auto"/>
            <w:tcW w:w="73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527"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20" w:type="dxa"/>
            <w:vAlign w:val="center"/>
            <w:textDirection w:val="lrTb"/>
            <w:noWrap w:val="false"/>
          </w:tcPr>
          <w:p>
            <w:pPr>
              <w:jc w:val="center"/>
              <w:keepLines w:val="0"/>
              <w:keepNext w:val="0"/>
              <w:pageBreakBefore w:val="0"/>
              <w:spacing w:line="320" w:lineRule="exact"/>
              <w:widowControl/>
              <w:tabs>
                <w:tab w:val="left" w:pos="2850" w:leader="none"/>
                <w:tab w:val="center" w:pos="41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W w:w="5747" w:type="dxa"/>
            <w:textDirection w:val="lrTb"/>
            <w:noWrap w:val="false"/>
          </w:tcPr>
          <w:p>
            <w:pPr>
              <w:jc w:val="left"/>
              <w:keepLines w:val="0"/>
              <w:keepNext w:val="0"/>
              <w:pageBreakBefore w:val="0"/>
              <w:spacing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类似业绩</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分，不提供不得分。</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rPr>
              <w:t xml:space="preserve">注：提供的案例须经甲方验收通过，提供每个项目的合同、验收报告复印件并加盖公章，未提供或材料不全的项目不得分。</w:t>
            </w:r>
            <w:r/>
          </w:p>
        </w:tc>
      </w:tr>
      <w:tr>
        <w:trPr>
          <w:jc w:val="center"/>
          <w:trHeight w:val="23"/>
        </w:trPr>
        <w:tc>
          <w:tcPr>
            <w:shd w:val="clear" w:color="auto" w:fill="auto"/>
            <w:tcW w:w="733"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W w:w="1527"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技术方案(</w:t>
            </w:r>
            <w:r>
              <w:rPr>
                <w:rFonts w:hint="default" w:ascii="宋体" w:hAnsi="宋体" w:eastAsia="宋体" w:cs="宋体"/>
                <w:i w:val="0"/>
                <w:iCs w:val="0"/>
                <w:color w:val="auto"/>
                <w:sz w:val="24"/>
                <w:szCs w:val="24"/>
                <w:highlight w:val="none"/>
                <w:u w:val="none"/>
                <w:lang w:val="en-US" w:eastAsia="zh-CN"/>
              </w:rPr>
              <w:t xml:space="preserve">60</w:t>
            </w:r>
            <w:r>
              <w:rPr>
                <w:rFonts w:hint="eastAsia" w:ascii="宋体" w:hAnsi="宋体" w:eastAsia="宋体" w:cs="宋体"/>
                <w:i w:val="0"/>
                <w:iCs w:val="0"/>
                <w:color w:val="auto"/>
                <w:sz w:val="24"/>
                <w:szCs w:val="24"/>
                <w:highlight w:val="none"/>
                <w:u w:val="none"/>
                <w:lang w:val="en-US" w:eastAsia="zh-CN"/>
              </w:rPr>
              <w:t xml:space="preserve">分)</w:t>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总体方案（</w:t>
            </w:r>
            <w:r>
              <w:rPr>
                <w:rFonts w:hint="default" w:ascii="宋体" w:hAnsi="宋体" w:eastAsia="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w:t>
            </w:r>
            <w:r/>
          </w:p>
        </w:tc>
        <w:tc>
          <w:tcPr>
            <w:shd w:val="clear" w:color="auto" w:fill="auto"/>
            <w:tcW w:w="5747" w:type="dxa"/>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供应商根据本项目第四章中“总体方案”要求提供至少包含：</w:t>
            </w:r>
            <w:r>
              <w:rPr>
                <w:rFonts w:hint="eastAsia" w:ascii="宋体" w:hAnsi="宋体" w:eastAsia="宋体" w:cs="宋体"/>
                <w:i w:val="0"/>
                <w:iCs w:val="0"/>
                <w:color w:val="auto"/>
                <w:sz w:val="24"/>
                <w:szCs w:val="24"/>
                <w:highlight w:val="none"/>
                <w:u w:val="none"/>
                <w:lang w:val="en-US" w:eastAsia="zh-CN"/>
              </w:rPr>
              <w:t xml:space="preserve">城市体检与更新系统需求分析、城市体检与更新系统技术路线、城市体检与更新系统架构设计、城市体检与更新系统安全体系建设等内容，</w:t>
            </w:r>
            <w:r>
              <w:rPr>
                <w:rFonts w:hint="eastAsia" w:ascii="宋体" w:hAnsi="宋体" w:eastAsia="宋体" w:cs="宋体"/>
                <w:color w:val="000000"/>
                <w:sz w:val="24"/>
                <w:szCs w:val="24"/>
                <w:highlight w:val="none"/>
              </w:rPr>
              <w:t xml:space="preserve">评委会进行综合评定：优于项目需求的得</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分，满足项目需求的得</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分，不满足或无此项内容的本项不得分。</w:t>
            </w:r>
            <w:r/>
          </w:p>
        </w:tc>
      </w:tr>
      <w:tr>
        <w:trPr>
          <w:jc w:val="center"/>
          <w:trHeight w:val="23"/>
        </w:trPr>
        <w:tc>
          <w:tcPr>
            <w:shd w:val="clear" w:color="auto" w:fill="auto"/>
            <w:tcW w:w="73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527"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城市体检</w:t>
            </w:r>
            <w:r>
              <w:rPr>
                <w:rFonts w:hint="eastAsia" w:ascii="宋体" w:hAnsi="宋体" w:cs="宋体"/>
                <w:i w:val="0"/>
                <w:iCs w:val="0"/>
                <w:color w:val="auto"/>
                <w:sz w:val="24"/>
                <w:szCs w:val="24"/>
                <w:highlight w:val="none"/>
                <w:u w:val="none"/>
                <w:lang w:val="en-US" w:eastAsia="zh-CN"/>
              </w:rPr>
              <w:t xml:space="preserve">子</w:t>
            </w:r>
            <w:r>
              <w:rPr>
                <w:rFonts w:hint="eastAsia" w:ascii="宋体" w:hAnsi="宋体" w:eastAsia="宋体" w:cs="宋体"/>
                <w:i w:val="0"/>
                <w:iCs w:val="0"/>
                <w:color w:val="auto"/>
                <w:sz w:val="24"/>
                <w:szCs w:val="24"/>
                <w:highlight w:val="none"/>
                <w:u w:val="none"/>
                <w:lang w:val="en-US" w:eastAsia="zh-CN"/>
              </w:rPr>
              <w:t xml:space="preserve">系统业务设计方案（</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w:t>
            </w:r>
            <w:r/>
          </w:p>
        </w:tc>
        <w:tc>
          <w:tcPr>
            <w:shd w:val="clear" w:color="auto" w:fill="auto"/>
            <w:tcW w:w="5747" w:type="dxa"/>
            <w:textDirection w:val="lrTb"/>
            <w:noWrap w:val="false"/>
          </w:tcPr>
          <w:p>
            <w:pPr>
              <w:jc w:val="left"/>
              <w:keepLines w:val="0"/>
              <w:keepNext w:val="0"/>
              <w:pageBreakBefore w:val="0"/>
              <w:spacing w:line="320" w:lineRule="exact"/>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供应商根据本项目第四章中“</w:t>
            </w:r>
            <w:r>
              <w:rPr>
                <w:rFonts w:hint="eastAsia" w:ascii="宋体" w:hAnsi="宋体" w:eastAsia="宋体" w:cs="宋体"/>
                <w:i w:val="0"/>
                <w:iCs w:val="0"/>
                <w:color w:val="auto"/>
                <w:sz w:val="24"/>
                <w:szCs w:val="24"/>
                <w:highlight w:val="none"/>
                <w:u w:val="none"/>
                <w:lang w:val="en-US" w:eastAsia="zh-CN"/>
              </w:rPr>
              <w:t xml:space="preserve">城市体检</w:t>
            </w:r>
            <w:r>
              <w:rPr>
                <w:rFonts w:hint="eastAsia" w:ascii="宋体" w:hAnsi="宋体" w:cs="宋体"/>
                <w:i w:val="0"/>
                <w:iCs w:val="0"/>
                <w:color w:val="auto"/>
                <w:sz w:val="24"/>
                <w:szCs w:val="24"/>
                <w:highlight w:val="none"/>
                <w:u w:val="none"/>
                <w:lang w:val="en-US" w:eastAsia="zh-CN"/>
              </w:rPr>
              <w:t xml:space="preserve">子</w:t>
            </w:r>
            <w:r>
              <w:rPr>
                <w:rFonts w:hint="eastAsia" w:ascii="宋体" w:hAnsi="宋体" w:eastAsia="宋体" w:cs="宋体"/>
                <w:i w:val="0"/>
                <w:iCs w:val="0"/>
                <w:color w:val="auto"/>
                <w:sz w:val="24"/>
                <w:szCs w:val="24"/>
                <w:highlight w:val="none"/>
                <w:u w:val="none"/>
                <w:lang w:val="en-US" w:eastAsia="zh-CN"/>
              </w:rPr>
              <w:t xml:space="preserve">系统业务设计方案</w:t>
            </w:r>
            <w:r>
              <w:rPr>
                <w:rFonts w:hint="eastAsia" w:ascii="宋体" w:hAnsi="宋体" w:eastAsia="宋体" w:cs="宋体"/>
                <w:i w:val="0"/>
                <w:iCs w:val="0"/>
                <w:color w:val="auto"/>
                <w:sz w:val="24"/>
                <w:szCs w:val="24"/>
                <w:highlight w:val="none"/>
                <w:u w:val="none"/>
                <w:lang w:val="en-US" w:eastAsia="zh-CN"/>
              </w:rPr>
              <w:t xml:space="preserve">”要求提供至少包含：</w:t>
            </w:r>
            <w:r>
              <w:rPr>
                <w:rFonts w:hint="eastAsia" w:ascii="宋体" w:hAnsi="宋体" w:eastAsia="宋体" w:cs="宋体"/>
                <w:i w:val="0"/>
                <w:iCs w:val="0"/>
                <w:color w:val="auto"/>
                <w:sz w:val="24"/>
                <w:szCs w:val="24"/>
                <w:highlight w:val="none"/>
                <w:u w:val="none"/>
                <w:lang w:val="en-US" w:eastAsia="zh-CN"/>
              </w:rPr>
              <w:t xml:space="preserve">城市体检GIS一张图、</w:t>
            </w:r>
            <w:r>
              <w:rPr>
                <w:rFonts w:hint="eastAsia" w:ascii="宋体" w:hAnsi="宋体" w:eastAsia="宋体" w:cs="宋体"/>
                <w:color w:val="auto"/>
                <w:sz w:val="24"/>
                <w:szCs w:val="24"/>
                <w:highlight w:val="none"/>
                <w:lang w:val="en-US" w:eastAsia="zh-CN"/>
              </w:rPr>
              <w:t xml:space="preserve">城市体检PC端用户后台管理、移动端H5页面</w:t>
            </w:r>
            <w:r>
              <w:rPr>
                <w:rFonts w:hint="eastAsia" w:ascii="宋体" w:hAnsi="宋体" w:eastAsia="宋体" w:cs="宋体"/>
                <w:i w:val="0"/>
                <w:iCs w:val="0"/>
                <w:color w:val="auto"/>
                <w:sz w:val="24"/>
                <w:szCs w:val="24"/>
                <w:highlight w:val="none"/>
                <w:u w:val="none"/>
                <w:lang w:val="en-US" w:eastAsia="zh-CN"/>
              </w:rPr>
              <w:t xml:space="preserve">等内容，</w:t>
            </w:r>
            <w:r>
              <w:rPr>
                <w:rFonts w:hint="eastAsia" w:ascii="宋体" w:hAnsi="宋体" w:eastAsia="宋体" w:cs="宋体"/>
                <w:color w:val="000000"/>
                <w:sz w:val="24"/>
                <w:szCs w:val="24"/>
                <w:highlight w:val="none"/>
              </w:rPr>
              <w:t xml:space="preserve">评委会进行综合评定：优于项目需求的得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分，满足项目需求的得</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分，不满足或无此项内容的本项不得分。</w:t>
            </w:r>
            <w:r/>
          </w:p>
        </w:tc>
      </w:tr>
      <w:tr>
        <w:trPr>
          <w:jc w:val="center"/>
          <w:trHeight w:val="23"/>
        </w:trPr>
        <w:tc>
          <w:tcPr>
            <w:shd w:val="clear" w:color="auto" w:fill="auto"/>
            <w:tcW w:w="73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527"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城市更新项目库管理业务计方案（</w:t>
            </w:r>
            <w:r>
              <w:rPr>
                <w:rFonts w:hint="default"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lang w:val="en-US" w:eastAsia="zh-CN"/>
              </w:rPr>
              <w:t xml:space="preserve">分）</w:t>
            </w:r>
            <w:r/>
          </w:p>
        </w:tc>
        <w:tc>
          <w:tcPr>
            <w:shd w:val="clear" w:color="auto" w:fill="auto"/>
            <w:tcW w:w="5747" w:type="dxa"/>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供应商根据本项目第四章中“</w:t>
            </w:r>
            <w:r>
              <w:rPr>
                <w:rFonts w:hint="eastAsia" w:ascii="宋体" w:hAnsi="宋体" w:eastAsia="宋体" w:cs="宋体"/>
                <w:i w:val="0"/>
                <w:iCs w:val="0"/>
                <w:color w:val="auto"/>
                <w:sz w:val="24"/>
                <w:szCs w:val="24"/>
                <w:highlight w:val="none"/>
                <w:u w:val="none"/>
                <w:lang w:val="en-US" w:eastAsia="zh-CN"/>
              </w:rPr>
              <w:t xml:space="preserve">城市更新项目库管理业务计方案</w:t>
            </w:r>
            <w:r>
              <w:rPr>
                <w:rFonts w:hint="eastAsia" w:ascii="宋体" w:hAnsi="宋体" w:eastAsia="宋体" w:cs="宋体"/>
                <w:i w:val="0"/>
                <w:iCs w:val="0"/>
                <w:color w:val="auto"/>
                <w:sz w:val="24"/>
                <w:szCs w:val="24"/>
                <w:highlight w:val="none"/>
                <w:u w:val="none"/>
                <w:lang w:val="en-US" w:eastAsia="zh-CN"/>
              </w:rPr>
              <w:t xml:space="preserve">”要求提供至少包含：</w:t>
            </w:r>
            <w:r>
              <w:rPr>
                <w:rFonts w:hint="eastAsia" w:ascii="宋体" w:hAnsi="宋体" w:eastAsia="宋体" w:cs="宋体"/>
                <w:color w:val="auto"/>
                <w:sz w:val="24"/>
                <w:szCs w:val="24"/>
                <w:highlight w:val="none"/>
                <w:lang w:val="en-US" w:eastAsia="zh-CN"/>
              </w:rPr>
              <w:t xml:space="preserve">PC服务端、PC管理端</w:t>
            </w:r>
            <w:r>
              <w:rPr>
                <w:rFonts w:hint="eastAsia" w:ascii="宋体" w:hAnsi="宋体" w:eastAsia="宋体" w:cs="宋体"/>
                <w:i w:val="0"/>
                <w:iCs w:val="0"/>
                <w:color w:val="auto"/>
                <w:sz w:val="24"/>
                <w:szCs w:val="24"/>
                <w:highlight w:val="none"/>
                <w:u w:val="none"/>
                <w:lang w:val="en-US" w:eastAsia="zh-CN"/>
              </w:rPr>
              <w:t xml:space="preserve">等内容，</w:t>
            </w:r>
            <w:r>
              <w:rPr>
                <w:rFonts w:hint="eastAsia" w:ascii="宋体" w:hAnsi="宋体" w:eastAsia="宋体" w:cs="宋体"/>
                <w:color w:val="000000"/>
                <w:sz w:val="24"/>
                <w:szCs w:val="24"/>
                <w:highlight w:val="none"/>
              </w:rPr>
              <w:t xml:space="preserve">评委会进行综合评定：优于项目需求的得</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分，满足项目需求的得</w:t>
            </w:r>
            <w:r>
              <w:rPr>
                <w:rFonts w:hint="default" w:ascii="宋体" w:hAnsi="宋体" w:eastAsia="宋体" w:cs="宋体"/>
                <w:color w:val="000000"/>
                <w:sz w:val="24"/>
                <w:szCs w:val="24"/>
                <w:highlight w:val="none"/>
                <w:lang w:val="en-US"/>
              </w:rPr>
              <w:t xml:space="preserve">8</w:t>
            </w:r>
            <w:r>
              <w:rPr>
                <w:rFonts w:hint="eastAsia" w:ascii="宋体" w:hAnsi="宋体" w:eastAsia="宋体" w:cs="宋体"/>
                <w:color w:val="000000"/>
                <w:sz w:val="24"/>
                <w:szCs w:val="24"/>
                <w:highlight w:val="none"/>
              </w:rPr>
              <w:t xml:space="preserve">分，不满足或无此项内容的本项不得分。</w:t>
            </w:r>
            <w:r/>
          </w:p>
        </w:tc>
      </w:tr>
      <w:tr>
        <w:trPr>
          <w:jc w:val="center"/>
          <w:trHeight w:val="23"/>
        </w:trPr>
        <w:tc>
          <w:tcPr>
            <w:shd w:val="clear" w:color="auto" w:fill="auto"/>
            <w:tcW w:w="73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527"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color w:val="auto"/>
                <w:sz w:val="24"/>
                <w:szCs w:val="24"/>
                <w:highlight w:val="none"/>
              </w:rPr>
              <w:t xml:space="preserve">质量保证措施</w:t>
            </w:r>
            <w:r>
              <w:rPr>
                <w:rFonts w:hint="eastAsia" w:ascii="宋体" w:hAnsi="宋体" w:eastAsia="宋体" w:cs="宋体"/>
                <w:i w:val="0"/>
                <w:iCs w:val="0"/>
                <w:color w:val="auto"/>
                <w:sz w:val="24"/>
                <w:szCs w:val="24"/>
                <w:highlight w:val="none"/>
                <w:u w:val="none"/>
                <w:lang w:val="en-US" w:eastAsia="zh-CN"/>
              </w:rPr>
              <w:t xml:space="preserve">（6分）</w:t>
            </w:r>
            <w:r/>
          </w:p>
        </w:tc>
        <w:tc>
          <w:tcPr>
            <w:shd w:val="clear" w:color="auto" w:fill="auto"/>
            <w:tcW w:w="5747" w:type="dxa"/>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供应商根据本项目第四章中“</w:t>
            </w:r>
            <w:r>
              <w:rPr>
                <w:rFonts w:hint="eastAsia" w:ascii="宋体" w:hAnsi="宋体" w:eastAsia="宋体" w:cs="宋体"/>
                <w:bCs/>
                <w:color w:val="auto"/>
                <w:sz w:val="24"/>
                <w:szCs w:val="24"/>
                <w:highlight w:val="none"/>
              </w:rPr>
              <w:t xml:space="preserve">质量保证措施</w:t>
            </w:r>
            <w:r>
              <w:rPr>
                <w:rFonts w:hint="eastAsia" w:ascii="宋体" w:hAnsi="宋体" w:eastAsia="宋体" w:cs="宋体"/>
                <w:i w:val="0"/>
                <w:iCs w:val="0"/>
                <w:color w:val="auto"/>
                <w:sz w:val="24"/>
                <w:szCs w:val="24"/>
                <w:highlight w:val="none"/>
                <w:u w:val="none"/>
                <w:lang w:val="en-US" w:eastAsia="zh-CN"/>
              </w:rPr>
              <w:t xml:space="preserve">”要求提供至少包含：项目组织、项目进度、实施过程管理、质量管理体系、项目电子化管理、试运行方案</w:t>
            </w:r>
            <w:r>
              <w:rPr>
                <w:rFonts w:hint="eastAsia" w:ascii="宋体" w:hAnsi="宋体" w:eastAsia="宋体" w:cs="宋体"/>
                <w:i w:val="0"/>
                <w:iCs w:val="0"/>
                <w:color w:val="auto"/>
                <w:sz w:val="24"/>
                <w:szCs w:val="24"/>
                <w:highlight w:val="none"/>
                <w:u w:val="none"/>
                <w:lang w:val="en-US" w:eastAsia="zh-CN"/>
              </w:rPr>
              <w:t xml:space="preserve">等内容，</w:t>
            </w:r>
            <w:r>
              <w:rPr>
                <w:rFonts w:hint="eastAsia" w:ascii="宋体" w:hAnsi="宋体" w:eastAsia="宋体" w:cs="宋体"/>
                <w:color w:val="000000"/>
                <w:sz w:val="24"/>
                <w:szCs w:val="24"/>
                <w:highlight w:val="none"/>
              </w:rPr>
              <w:t xml:space="preserve">评委会进行综合评定：优于项目需求的得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分，满足项目需求的得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分，不满足或无此项内容的本项不得分。</w:t>
            </w:r>
            <w:r/>
          </w:p>
        </w:tc>
      </w:tr>
      <w:tr>
        <w:trPr>
          <w:jc w:val="center"/>
          <w:trHeight w:val="23"/>
        </w:trPr>
        <w:tc>
          <w:tcPr>
            <w:shd w:val="clear" w:color="auto" w:fill="auto"/>
            <w:tcW w:w="73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527"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售后服务方案（6分）</w:t>
            </w:r>
            <w:r/>
          </w:p>
        </w:tc>
        <w:tc>
          <w:tcPr>
            <w:shd w:val="clear" w:color="auto" w:fill="auto"/>
            <w:tcW w:w="5747" w:type="dxa"/>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供应商根据本项目第四章中“</w:t>
            </w:r>
            <w:r>
              <w:rPr>
                <w:rFonts w:hint="eastAsia" w:ascii="宋体" w:hAnsi="宋体" w:eastAsia="宋体" w:cs="宋体"/>
                <w:i w:val="0"/>
                <w:iCs w:val="0"/>
                <w:color w:val="auto"/>
                <w:sz w:val="24"/>
                <w:szCs w:val="24"/>
                <w:highlight w:val="none"/>
                <w:u w:val="none"/>
                <w:lang w:val="en-US" w:eastAsia="zh-CN"/>
              </w:rPr>
              <w:t xml:space="preserve">售后服务方案</w:t>
            </w:r>
            <w:r>
              <w:rPr>
                <w:rFonts w:hint="eastAsia" w:ascii="宋体" w:hAnsi="宋体" w:eastAsia="宋体" w:cs="宋体"/>
                <w:i w:val="0"/>
                <w:iCs w:val="0"/>
                <w:color w:val="auto"/>
                <w:sz w:val="24"/>
                <w:szCs w:val="24"/>
                <w:highlight w:val="none"/>
                <w:u w:val="none"/>
                <w:lang w:val="en-US" w:eastAsia="zh-CN"/>
              </w:rPr>
              <w:t xml:space="preserve">”要求提供至少包含：</w:t>
            </w:r>
            <w:r>
              <w:rPr>
                <w:rFonts w:hint="eastAsia" w:ascii="宋体" w:hAnsi="宋体" w:eastAsia="宋体" w:cs="宋体"/>
                <w:color w:val="auto"/>
                <w:sz w:val="24"/>
                <w:szCs w:val="24"/>
                <w:highlight w:val="none"/>
              </w:rPr>
              <w:t xml:space="preserve">售后服务响应时间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服务流程、程序及售后维保服务人员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服务监督和改进措施</w:t>
            </w:r>
            <w:r>
              <w:rPr>
                <w:rFonts w:hint="eastAsia" w:ascii="宋体" w:hAnsi="宋体" w:eastAsia="宋体" w:cs="宋体"/>
                <w:i w:val="0"/>
                <w:iCs w:val="0"/>
                <w:color w:val="auto"/>
                <w:sz w:val="24"/>
                <w:szCs w:val="24"/>
                <w:highlight w:val="none"/>
                <w:u w:val="none"/>
                <w:lang w:val="en-US" w:eastAsia="zh-CN"/>
              </w:rPr>
              <w:t xml:space="preserve">等内容，</w:t>
            </w:r>
            <w:r>
              <w:rPr>
                <w:rFonts w:hint="eastAsia" w:ascii="宋体" w:hAnsi="宋体" w:eastAsia="宋体" w:cs="宋体"/>
                <w:color w:val="000000"/>
                <w:sz w:val="24"/>
                <w:szCs w:val="24"/>
                <w:highlight w:val="none"/>
              </w:rPr>
              <w:t xml:space="preserve">评委会进行综合评定：优于项目需求的得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分，满足项目需求的得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分，不满足或无此项内容的本项不得分。</w:t>
            </w:r>
            <w:r/>
          </w:p>
        </w:tc>
      </w:tr>
      <w:tr>
        <w:trPr>
          <w:jc w:val="center"/>
          <w:trHeight w:val="1919"/>
        </w:trPr>
        <w:tc>
          <w:tcPr>
            <w:shd w:val="clear" w:color="auto" w:fill="auto"/>
            <w:tcW w:w="73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527"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培训方案（6分）</w:t>
            </w:r>
            <w:r/>
          </w:p>
        </w:tc>
        <w:tc>
          <w:tcPr>
            <w:shd w:val="clear" w:color="auto" w:fill="auto"/>
            <w:tcW w:w="5747" w:type="dxa"/>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供应商根据本项目第四章中“</w:t>
            </w:r>
            <w:r>
              <w:rPr>
                <w:rFonts w:hint="eastAsia" w:ascii="宋体" w:hAnsi="宋体" w:eastAsia="宋体" w:cs="宋体"/>
                <w:i w:val="0"/>
                <w:iCs w:val="0"/>
                <w:color w:val="auto"/>
                <w:sz w:val="24"/>
                <w:szCs w:val="24"/>
                <w:highlight w:val="none"/>
                <w:u w:val="none"/>
                <w:lang w:val="en-US" w:eastAsia="zh-CN"/>
              </w:rPr>
              <w:t xml:space="preserve">培训方案</w:t>
            </w:r>
            <w:r>
              <w:rPr>
                <w:rFonts w:hint="eastAsia" w:ascii="宋体" w:hAnsi="宋体" w:eastAsia="宋体" w:cs="宋体"/>
                <w:i w:val="0"/>
                <w:iCs w:val="0"/>
                <w:color w:val="auto"/>
                <w:sz w:val="24"/>
                <w:szCs w:val="24"/>
                <w:highlight w:val="none"/>
                <w:u w:val="none"/>
                <w:lang w:val="en-US" w:eastAsia="zh-CN"/>
              </w:rPr>
              <w:t xml:space="preserve">”要求提供至少包含：</w:t>
            </w:r>
            <w:r>
              <w:rPr>
                <w:rFonts w:hint="eastAsia" w:ascii="宋体" w:hAnsi="宋体" w:eastAsia="宋体" w:cs="宋体"/>
                <w:color w:val="auto"/>
                <w:sz w:val="24"/>
                <w:szCs w:val="22"/>
                <w:highlight w:val="none"/>
              </w:rPr>
              <w:t xml:space="preserve">总体培训计划和目标</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培训老师配置</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培训时间和培训次数</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培训内容</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培训质量控制</w:t>
            </w:r>
            <w:r>
              <w:rPr>
                <w:rFonts w:hint="eastAsia" w:ascii="宋体" w:hAnsi="宋体" w:eastAsia="宋体" w:cs="宋体"/>
                <w:i w:val="0"/>
                <w:iCs w:val="0"/>
                <w:color w:val="auto"/>
                <w:sz w:val="24"/>
                <w:szCs w:val="24"/>
                <w:highlight w:val="none"/>
                <w:u w:val="none"/>
                <w:lang w:val="en-US" w:eastAsia="zh-CN"/>
              </w:rPr>
              <w:t xml:space="preserve">等内容，</w:t>
            </w:r>
            <w:r>
              <w:rPr>
                <w:rFonts w:hint="eastAsia" w:ascii="宋体" w:hAnsi="宋体" w:eastAsia="宋体" w:cs="宋体"/>
                <w:color w:val="000000"/>
                <w:sz w:val="24"/>
                <w:szCs w:val="24"/>
                <w:highlight w:val="none"/>
              </w:rPr>
              <w:t xml:space="preserve">评委会进行综合评定：优于项目需求的得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分，满足项目需求的得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分，不满足或无此项内容的本项不得分。</w:t>
            </w:r>
            <w:r/>
          </w:p>
        </w:tc>
      </w:tr>
      <w:tr>
        <w:trPr>
          <w:jc w:val="center"/>
          <w:trHeight w:val="23"/>
        </w:trPr>
        <w:tc>
          <w:tcPr>
            <w:shd w:val="clear" w:color="auto" w:fill="auto"/>
            <w:tcW w:w="733"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527"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系统演示（15分）</w:t>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城市体检分析展示功能演示（10分）</w:t>
            </w:r>
            <w:r/>
          </w:p>
        </w:tc>
        <w:tc>
          <w:tcPr>
            <w:shd w:val="clear" w:color="auto" w:fill="auto"/>
            <w:tcW w:w="5747" w:type="dxa"/>
            <w:textDirection w:val="lrTb"/>
            <w:noWrap w:val="false"/>
          </w:tcPr>
          <w:p>
            <w:pPr>
              <w:numPr>
                <w:ilvl w:val="0"/>
                <w:numId w:val="1"/>
              </w:numPr>
              <w:jc w:val="left"/>
              <w:keepLines w:val="0"/>
              <w:keepNext w:val="0"/>
              <w:pageBreakBefore w:val="0"/>
              <w:spacing w:line="320" w:lineRule="exact"/>
              <w:widowControl/>
              <w:rPr>
                <w:rFonts w:hint="eastAsia"/>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可视化演示（5分）：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(1)城市数据总览大屏的城市地图支持市、区两级交互联动（2分）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①城市地图模型动态视觉，市、区两级切换</w:t>
            </w:r>
            <w:r>
              <w:rPr>
                <w:rFonts w:hint="eastAsia" w:ascii="宋体" w:hAnsi="宋体" w:cs="宋体"/>
                <w:i w:val="0"/>
                <w:iCs w:val="0"/>
                <w:color w:val="auto"/>
                <w:sz w:val="24"/>
                <w:szCs w:val="24"/>
                <w:highlight w:val="none"/>
                <w:u w:val="none"/>
                <w:lang w:val="en-US" w:eastAsia="zh-CN"/>
              </w:rPr>
              <w:t xml:space="preserve">可</w:t>
            </w:r>
            <w:r>
              <w:rPr>
                <w:rFonts w:hint="eastAsia" w:ascii="宋体" w:hAnsi="宋体" w:eastAsia="宋体" w:cs="宋体"/>
                <w:i w:val="0"/>
                <w:iCs w:val="0"/>
                <w:color w:val="auto"/>
                <w:sz w:val="24"/>
                <w:szCs w:val="24"/>
                <w:highlight w:val="none"/>
                <w:u w:val="none"/>
                <w:lang w:val="en-US" w:eastAsia="zh-CN"/>
              </w:rPr>
              <w:t xml:space="preserve">交互，得2分；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②城市地图模型非动态，市、区两级切换可交互，得1分；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③不演示数据大屏城市地图市、区两级交互不得分；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(2)支持体检所采集空间数据在GIS地图上展示并支持查看点位详情和图片（2分）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①指标对应撒点在gis地图上呈现，可点击查看信息及图片，得2分；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(3)支持在地图上实现问题热力分布，支持地图上进行设施半径分析，查看设施覆盖范围（1分）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①演示问题热力分布和设施半径分析地图，得1分；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2、AI统计分析和智能生成报告演示（5分）：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(1)支持自定义输入</w:t>
            </w:r>
            <w:bookmarkStart w:id="224" w:name="_GoBack"/>
            <w:r/>
            <w:bookmarkEnd w:id="224"/>
            <w:r>
              <w:rPr>
                <w:rFonts w:hint="eastAsia" w:ascii="宋体" w:hAnsi="宋体" w:eastAsia="宋体" w:cs="宋体"/>
                <w:i w:val="0"/>
                <w:iCs w:val="0"/>
                <w:color w:val="auto"/>
                <w:sz w:val="24"/>
                <w:szCs w:val="24"/>
                <w:highlight w:val="none"/>
                <w:u w:val="none"/>
                <w:lang w:val="en-US" w:eastAsia="zh-CN"/>
              </w:rPr>
              <w:t xml:space="preserve">城市体检文字指令，根据输入要求生成体检结果统计分析（2分）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①演示文字输入查询内容，通过大模型流程得出统计结果，得2分；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②演示无法自定义输入查询内容的固定查询功能，得1分；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③不演示不得分；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(2)通过语音唤起模型，通过语音自然交互，模型给出查询结果（2分）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①通过语音唤起统计模型，能自然交互，流畅得出查询结果，得2分；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②语音无法唤起不得分、不演示不得分；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(3)一键生成体检报告，支持预览和下载报告（1分）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①根据模板自动生成报告，可预览下载，得1分；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注：投标人系统演示优先采用真实系统</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DEMO或原型方式</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使用PPT演示稿或录屏方式演示或不演示的不得分。</w:t>
            </w:r>
            <w:r/>
          </w:p>
        </w:tc>
      </w:tr>
      <w:tr>
        <w:trPr>
          <w:jc w:val="center"/>
          <w:trHeight w:val="23"/>
        </w:trPr>
        <w:tc>
          <w:tcPr>
            <w:shd w:val="clear" w:color="auto" w:fill="auto"/>
            <w:tcW w:w="73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527"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22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移动端数据配置采集功能演示（5分）</w:t>
            </w:r>
            <w:r/>
          </w:p>
        </w:tc>
        <w:tc>
          <w:tcPr>
            <w:shd w:val="clear" w:color="auto" w:fill="auto"/>
            <w:tcW w:w="5747" w:type="dxa"/>
            <w:textDirection w:val="lrTb"/>
            <w:noWrap w:val="false"/>
          </w:tcPr>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演示一键复制指标的能力，能选择某批次指标一键复制到当前批次（1分）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①功能界面清晰，复制指标功能流畅演示，得1分；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2、支持将管理端配置的体检指标表单在移动端进行展示，并支持对具体指标问题内容进行填报（1分）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①填报内容与配置内容一致，成功填报并提交，得1分；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3、拍摄照片带水印相机功能，能通过水印相机对采集到的图片添加水印（1分）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①水印记录功能完整，记录内容合理，得1分；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4、支持移动端填报记录查询，能查看所有填报记录（1分）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①已提交的填报记录可回溯，问题项可查看，功能流程完整，得1分；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②不演示不得分；</w:t>
            </w:r>
            <w:r/>
          </w:p>
          <w:p>
            <w:pPr>
              <w:numPr>
                <w:ilvl w:val="0"/>
                <w:numId w:val="0"/>
              </w:numPr>
              <w:ind w:left="0" w:firstLine="0"/>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5、支持移动端台账查询，支持查看所有问题台账（1分）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①台账记录可查询，并点击查看详细台账内容，指标、问题项和图片内容完整且对应关系正确，得1分；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②不演示不得分；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注：投标人系统演示优先采用真实系统</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DEMO或原型方式</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使用PPT演示稿或录屏方式演示或不演示的不得分。</w:t>
            </w:r>
            <w:r/>
          </w:p>
        </w:tc>
      </w:tr>
    </w:tbl>
    <w:p>
      <w:pPr>
        <w:pStyle w:val="867"/>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7"/>
        <w:jc w:val="both"/>
        <w:spacing w:beforeAutospacing="0" w:afterAutospacing="0"/>
        <w:rPr>
          <w:highlight w:val="none"/>
        </w:rPr>
      </w:pPr>
      <w:r>
        <w:rPr>
          <w:rFonts w:hint="eastAsia" w:ascii="宋体" w:hAnsi="宋体" w:eastAsia="宋体" w:cs="宋体"/>
          <w:color w:val="auto"/>
          <w:highlight w:val="none"/>
        </w:rPr>
        <w:t xml:space="preserve"> </w:t>
      </w:r>
      <w:r>
        <w:rPr>
          <w:highlight w:val="none"/>
        </w:rPr>
        <w:t xml:space="preserve"> </w:t>
      </w:r>
      <w:r/>
    </w:p>
    <w:p>
      <w:pPr>
        <w:pStyle w:val="867"/>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7"/>
        <w:jc w:val="center"/>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w:t>
      </w:r>
      <w:r/>
    </w:p>
    <w:p>
      <w:pPr>
        <w:pStyle w:val="867"/>
        <w:jc w:val="center"/>
        <w:spacing w:beforeAutospacing="0" w:afterAutospacing="0"/>
        <w:rPr>
          <w:highlight w:val="none"/>
        </w:rPr>
      </w:pPr>
      <w:r/>
      <w:bookmarkStart w:id="201" w:name="_Toc26554094"/>
      <w:r/>
      <w:bookmarkEnd w:id="201"/>
      <w:r/>
      <w:bookmarkStart w:id="202" w:name="_Hlt26671244"/>
      <w:r/>
      <w:bookmarkEnd w:id="202"/>
      <w:r/>
      <w:bookmarkStart w:id="203" w:name="_Hlt26955039"/>
      <w:r/>
      <w:bookmarkEnd w:id="203"/>
      <w:r/>
      <w:bookmarkStart w:id="204" w:name="_Toc120614282"/>
      <w:r/>
      <w:bookmarkStart w:id="205" w:name="_Toc49090576"/>
      <w:r>
        <w:rPr>
          <w:rFonts w:hint="eastAsia" w:ascii="宋体" w:hAnsi="宋体" w:eastAsia="宋体" w:cs="宋体"/>
          <w:b/>
          <w:color w:val="000000"/>
          <w:sz w:val="72"/>
          <w:szCs w:val="72"/>
          <w:highlight w:val="none"/>
        </w:rPr>
        <w:t xml:space="preserve">投  标  文  件</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6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67"/>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67"/>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both"/>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67"/>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67"/>
        <w:jc w:val="center"/>
        <w:spacing w:beforeAutospacing="0" w:afterAutospacing="0" w:line="0" w:lineRule="atLeast"/>
        <w:rPr>
          <w:highlight w:val="none"/>
        </w:rPr>
      </w:pPr>
      <w:r>
        <w:rPr>
          <w:highlight w:val="none"/>
        </w:rPr>
        <w:t xml:space="preserve"> </w:t>
      </w:r>
      <w:r/>
    </w:p>
    <w:p>
      <w:pPr>
        <w:pStyle w:val="86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67"/>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6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6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6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6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6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6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6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、投标分项报价表</w:t>
      </w:r>
      <w:r/>
    </w:p>
    <w:p>
      <w:pPr>
        <w:pStyle w:val="86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86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86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867"/>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867"/>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67"/>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67"/>
        <w:ind w:firstLine="480"/>
        <w:jc w:val="both"/>
        <w:spacing w:beforeAutospacing="0" w:afterAutospacing="0" w:line="0" w:lineRule="atLeast"/>
        <w:rPr>
          <w:highlight w:val="none"/>
        </w:rPr>
      </w:pPr>
      <w:r>
        <w:rPr>
          <w:highlight w:val="none"/>
        </w:rPr>
        <w:t xml:space="preserve"> </w:t>
      </w:r>
      <w:r/>
    </w:p>
    <w:p>
      <w:pPr>
        <w:pStyle w:val="867"/>
        <w:ind w:firstLine="480"/>
        <w:jc w:val="both"/>
        <w:spacing w:beforeAutospacing="0" w:afterAutospacing="0" w:line="0" w:lineRule="atLeast"/>
        <w:rPr>
          <w:highlight w:val="none"/>
        </w:rPr>
      </w:pPr>
      <w:r>
        <w:rPr>
          <w:highlight w:val="none"/>
        </w:rPr>
        <w:t xml:space="preserve"> </w:t>
      </w:r>
      <w:r/>
    </w:p>
    <w:p>
      <w:pPr>
        <w:pStyle w:val="867"/>
        <w:ind w:firstLine="480"/>
        <w:jc w:val="both"/>
        <w:spacing w:beforeAutospacing="0" w:afterAutospacing="0" w:line="0" w:lineRule="atLeast"/>
        <w:rPr>
          <w:highlight w:val="none"/>
        </w:rPr>
      </w:pPr>
      <w:r>
        <w:rPr>
          <w:highlight w:val="none"/>
        </w:rPr>
        <w:t xml:space="preserve"> </w:t>
      </w:r>
      <w:r/>
    </w:p>
    <w:p>
      <w:pPr>
        <w:pStyle w:val="867"/>
        <w:ind w:firstLine="480"/>
        <w:jc w:val="both"/>
        <w:spacing w:beforeAutospacing="0" w:afterAutospacing="0" w:line="0" w:lineRule="atLeast"/>
        <w:rPr>
          <w:highlight w:val="none"/>
        </w:rPr>
      </w:pPr>
      <w:r>
        <w:rPr>
          <w:highlight w:val="none"/>
        </w:rPr>
        <w:t xml:space="preserve"> </w:t>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r>
      <w:r/>
    </w:p>
    <w:p>
      <w:pPr>
        <w:pStyle w:val="867"/>
        <w:ind w:firstLine="480"/>
        <w:jc w:val="both"/>
        <w:spacing w:beforeAutospacing="0" w:afterAutospacing="0" w:line="0" w:lineRule="atLeast"/>
        <w:rPr>
          <w:highlight w:val="none"/>
        </w:rPr>
      </w:pPr>
      <w:r>
        <w:rPr>
          <w:highlight w:val="none"/>
        </w:rPr>
        <w:t xml:space="preserve"> </w:t>
      </w:r>
      <w:r/>
    </w:p>
    <w:p>
      <w:pPr>
        <w:pStyle w:val="867"/>
        <w:ind w:firstLine="480"/>
        <w:jc w:val="both"/>
        <w:spacing w:beforeAutospacing="0" w:afterAutospacing="0" w:line="0" w:lineRule="atLeast"/>
        <w:rPr>
          <w:highlight w:val="none"/>
        </w:rPr>
      </w:pPr>
      <w:r>
        <w:rPr>
          <w:highlight w:val="none"/>
        </w:rPr>
        <w:t xml:space="preserve"> </w:t>
      </w:r>
      <w:r/>
    </w:p>
    <w:p>
      <w:pPr>
        <w:pStyle w:val="867"/>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67"/>
        <w:ind w:firstLine="480"/>
        <w:jc w:val="both"/>
        <w:spacing w:beforeAutospacing="0" w:afterAutospacing="0" w:line="0" w:lineRule="atLeast"/>
        <w:rPr>
          <w:highlight w:val="none"/>
        </w:rPr>
      </w:pPr>
      <w:r>
        <w:rPr>
          <w:highlight w:val="none"/>
        </w:rPr>
        <w:t xml:space="preserve"> </w:t>
      </w:r>
      <w:r/>
    </w:p>
    <w:p>
      <w:pPr>
        <w:pStyle w:val="867"/>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67"/>
        <w:ind w:firstLine="480"/>
        <w:jc w:val="both"/>
        <w:spacing w:beforeAutospacing="0" w:afterAutospacing="0" w:line="0" w:lineRule="atLeast"/>
        <w:rPr>
          <w:highlight w:val="none"/>
        </w:rPr>
      </w:pPr>
      <w:r>
        <w:rPr>
          <w:highlight w:val="none"/>
        </w:rPr>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6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6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67"/>
        <w:ind w:firstLine="480"/>
        <w:jc w:val="both"/>
        <w:spacing w:beforeAutospacing="0" w:afterAutospacing="0"/>
        <w:rPr>
          <w:highlight w:val="none"/>
        </w:rPr>
      </w:pPr>
      <w:r/>
      <w:bookmarkStart w:id="20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6"/>
      <w:r/>
      <w:r/>
    </w:p>
    <w:p>
      <w:pPr>
        <w:pStyle w:val="86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67"/>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67"/>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67"/>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67"/>
        <w:jc w:val="both"/>
        <w:spacing w:beforeAutospacing="0" w:afterAutospacing="0" w:line="0" w:lineRule="atLeast"/>
        <w:rPr>
          <w:highlight w:val="none"/>
        </w:rPr>
      </w:pPr>
      <w:r>
        <w:rPr>
          <w:highlight w:val="none"/>
        </w:rPr>
        <w:t xml:space="preserve"> </w:t>
      </w:r>
      <w:r/>
    </w:p>
    <w:p>
      <w:pPr>
        <w:pStyle w:val="86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67"/>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6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6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67"/>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207" w:name="_Hlt26671380"/>
      <w:r/>
      <w:bookmarkStart w:id="208" w:name="_格式3__银行出具的资信证明"/>
      <w:r/>
      <w:bookmarkStart w:id="209" w:name="_Hlt26955070"/>
      <w:r>
        <w:rPr>
          <w:rFonts w:ascii="Times New Roman" w:hAnsi="Times New Roman"/>
          <w:color w:val="000000"/>
          <w:highlight w:val="none"/>
          <w:u w:val="single"/>
        </w:rPr>
        <w:t xml:space="preserve">                                         </w:t>
      </w:r>
      <w:r/>
    </w:p>
    <w:p>
      <w:pPr>
        <w:pStyle w:val="867"/>
        <w:ind w:firstLine="420"/>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line="0" w:lineRule="atLeast"/>
        <w:rPr>
          <w:highlight w:val="none"/>
        </w:rPr>
      </w:pPr>
      <w:r>
        <w:rPr>
          <w:highlight w:val="none"/>
        </w:rPr>
        <w:t xml:space="preserve"> </w:t>
      </w:r>
      <w:r/>
    </w:p>
    <w:p>
      <w:pPr>
        <w:pStyle w:val="8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我公司（单位）委托进行现场演示的人员为（本项目如果无现场演示要求，请项目经办人自行删除该备注）</w:t>
      </w:r>
      <w:r/>
    </w:p>
    <w:p>
      <w:pPr>
        <w:pStyle w:val="8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（人员姓名），身份证号          。</w:t>
      </w:r>
      <w:r/>
    </w:p>
    <w:p>
      <w:pPr>
        <w:pStyle w:val="8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67"/>
        <w:jc w:val="both"/>
        <w:spacing w:beforeAutospacing="0" w:afterAutospacing="0" w:line="0" w:lineRule="atLeast"/>
        <w:rPr>
          <w:highlight w:val="none"/>
        </w:rPr>
      </w:pPr>
      <w:r>
        <w:rPr>
          <w:highlight w:val="none"/>
        </w:rPr>
        <w:t xml:space="preserve"> </w:t>
      </w:r>
      <w:r/>
    </w:p>
    <w:p>
      <w:pPr>
        <w:pStyle w:val="867"/>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867"/>
        <w:spacing w:beforeAutospacing="0" w:afterAutospacing="0" w:line="0" w:lineRule="atLeast"/>
        <w:rPr>
          <w:highlight w:val="none"/>
        </w:rPr>
      </w:pPr>
      <w:r>
        <w:rPr>
          <w:rFonts w:hint="eastAsia" w:ascii="宋体" w:hAnsi="宋体" w:eastAsia="宋体" w:cs="宋体"/>
          <w:color w:val="000000"/>
          <w:highlight w:val="none"/>
        </w:rPr>
        <w:t xml:space="preserve">致：盐城市政府采购中心</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7"/>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67"/>
        <w:ind w:firstLine="240"/>
        <w:jc w:val="center"/>
        <w:spacing w:beforeAutospacing="0" w:afterAutospacing="0" w:line="0" w:lineRule="atLeast"/>
        <w:rPr>
          <w:highlight w:val="none"/>
        </w:rPr>
      </w:pPr>
      <w:r>
        <w:rPr>
          <w:highlight w:val="none"/>
        </w:rPr>
        <w:t xml:space="preserve"> </w:t>
      </w:r>
      <w:r/>
    </w:p>
    <w:p>
      <w:pPr>
        <w:pStyle w:val="867"/>
        <w:ind w:firstLine="240"/>
        <w:jc w:val="center"/>
        <w:spacing w:beforeAutospacing="0" w:afterAutospacing="0" w:line="0" w:lineRule="atLeast"/>
        <w:rPr>
          <w:highlight w:val="none"/>
        </w:rPr>
      </w:pPr>
      <w:r>
        <w:rPr>
          <w:highlight w:val="none"/>
        </w:rPr>
        <w:t xml:space="preserve"> </w:t>
      </w:r>
      <w:r/>
    </w:p>
    <w:p>
      <w:pPr>
        <w:pStyle w:val="867"/>
        <w:ind w:firstLine="240"/>
        <w:jc w:val="center"/>
        <w:spacing w:beforeAutospacing="0" w:afterAutospacing="0" w:line="0" w:lineRule="atLeast"/>
        <w:rPr>
          <w:highlight w:val="none"/>
        </w:rPr>
      </w:pPr>
      <w:r>
        <w:rPr>
          <w:highlight w:val="none"/>
        </w:rPr>
        <w:t xml:space="preserve"> </w:t>
      </w:r>
      <w:r/>
    </w:p>
    <w:p>
      <w:pPr>
        <w:pStyle w:val="867"/>
        <w:ind w:firstLine="240"/>
        <w:jc w:val="center"/>
        <w:spacing w:beforeAutospacing="0" w:afterAutospacing="0" w:line="0" w:lineRule="atLeast"/>
        <w:rPr>
          <w:highlight w:val="none"/>
        </w:rPr>
      </w:pPr>
      <w:r>
        <w:rPr>
          <w:highlight w:val="none"/>
        </w:rPr>
        <w:t xml:space="preserve"> </w:t>
      </w:r>
      <w:r/>
    </w:p>
    <w:p>
      <w:pPr>
        <w:pStyle w:val="867"/>
        <w:ind w:firstLine="240"/>
        <w:jc w:val="center"/>
        <w:spacing w:beforeAutospacing="0" w:afterAutospacing="0" w:line="0" w:lineRule="atLeast"/>
        <w:rPr>
          <w:highlight w:val="none"/>
        </w:rPr>
      </w:pPr>
      <w:r>
        <w:rPr>
          <w:highlight w:val="none"/>
        </w:rPr>
        <w:t xml:space="preserve"> </w:t>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ind w:firstLine="240"/>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7"/>
        <w:ind w:right="720"/>
        <w:jc w:val="both"/>
        <w:spacing w:beforeAutospacing="0" w:afterAutospacing="0" w:line="0" w:lineRule="atLeast"/>
        <w:rPr>
          <w:color w:val="auto"/>
          <w:highlight w:val="none"/>
        </w:rPr>
      </w:pPr>
      <w:r>
        <w:rPr>
          <w:color w:val="auto"/>
          <w:highlight w:val="none"/>
        </w:rPr>
        <w:t xml:space="preserve"> </w:t>
      </w:r>
      <w:r/>
    </w:p>
    <w:p>
      <w:pPr>
        <w:pStyle w:val="86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67"/>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67"/>
        <w:ind w:firstLine="240"/>
        <w:jc w:val="both"/>
        <w:spacing w:beforeAutospacing="0" w:afterAutospacing="0" w:line="0" w:lineRule="atLeast"/>
        <w:rPr>
          <w:color w:val="auto"/>
          <w:highlight w:val="none"/>
        </w:rPr>
      </w:pPr>
      <w:r>
        <w:rPr>
          <w:color w:val="auto"/>
          <w:highlight w:val="none"/>
        </w:rPr>
        <w:t xml:space="preserve"> </w:t>
      </w:r>
      <w:r/>
    </w:p>
    <w:p>
      <w:pPr>
        <w:pStyle w:val="86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7"/>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86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6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7"/>
        <w:ind w:firstLine="480"/>
        <w:jc w:val="both"/>
        <w:spacing w:beforeAutospacing="0" w:afterAutospacing="0" w:line="0" w:lineRule="atLeast"/>
        <w:rPr>
          <w:highlight w:val="none"/>
        </w:rPr>
      </w:pPr>
      <w:r>
        <w:rPr>
          <w:highlight w:val="none"/>
        </w:rPr>
        <w:t xml:space="preserve"> </w:t>
      </w:r>
      <w:r/>
    </w:p>
    <w:p>
      <w:pPr>
        <w:pStyle w:val="867"/>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6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67"/>
        <w:ind w:firstLine="624"/>
        <w:jc w:val="both"/>
        <w:spacing w:beforeAutospacing="0" w:afterAutospacing="0" w:line="0" w:lineRule="atLeast"/>
        <w:rPr>
          <w:highlight w:val="none"/>
        </w:rPr>
      </w:pPr>
      <w:r>
        <w:rPr>
          <w:highlight w:val="none"/>
        </w:rPr>
        <w:t xml:space="preserve"> </w:t>
      </w:r>
      <w:r/>
    </w:p>
    <w:p>
      <w:pPr>
        <w:pStyle w:val="867"/>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7"/>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line="0" w:lineRule="atLeast"/>
        <w:rPr>
          <w:highlight w:val="none"/>
        </w:rPr>
      </w:pPr>
      <w:r>
        <w:rPr>
          <w:highlight w:val="none"/>
        </w:rPr>
        <w:t xml:space="preserve"> </w:t>
      </w:r>
      <w:r/>
    </w:p>
    <w:p>
      <w:pPr>
        <w:pStyle w:val="867"/>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、投标分项报价表（分包号：**）</w:t>
      </w:r>
      <w:r/>
    </w:p>
    <w:tbl>
      <w:tblPr>
        <w:tblStyle w:val="86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67"/>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both"/>
              <w:spacing w:beforeAutospacing="0" w:afterAutospacing="0" w:line="0" w:lineRule="atLeast"/>
              <w:rPr>
                <w:highlight w:val="none"/>
              </w:rPr>
            </w:pPr>
            <w:r>
              <w:rPr>
                <w:highlight w:val="none"/>
              </w:rPr>
              <w:t xml:space="preserve"> </w:t>
            </w:r>
            <w:r/>
          </w:p>
        </w:tc>
      </w:tr>
    </w:tbl>
    <w:p>
      <w:pPr>
        <w:pStyle w:val="8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8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8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r>
      <w:r>
        <w:rPr>
          <w:highlight w:val="none"/>
        </w:rPr>
      </w:r>
      <w:r/>
    </w:p>
    <w:p>
      <w:pPr>
        <w:pStyle w:val="867"/>
        <w:jc w:val="center"/>
        <w:spacing w:beforeAutospacing="0" w:afterAutospacing="0"/>
        <w:rPr>
          <w:highlight w:val="none"/>
        </w:rPr>
      </w:pPr>
      <w:r>
        <w:rPr>
          <w:highlight w:val="none"/>
        </w:rPr>
      </w:r>
      <w:r/>
    </w:p>
    <w:p>
      <w:pPr>
        <w:pStyle w:val="867"/>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、技术要求响应及偏离表（分包号：**）</w:t>
      </w:r>
      <w:r/>
    </w:p>
    <w:tbl>
      <w:tblPr>
        <w:tblStyle w:val="8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highlight w:val="none"/>
              </w:rPr>
            </w:pPr>
            <w:r>
              <w:rPr>
                <w:highlight w:val="none"/>
              </w:rPr>
              <w:t xml:space="preserve"> </w:t>
            </w:r>
            <w:r/>
          </w:p>
        </w:tc>
      </w:tr>
    </w:tbl>
    <w:p>
      <w:pPr>
        <w:pStyle w:val="86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center"/>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rPr>
          <w:highlight w:val="none"/>
        </w:rPr>
      </w:r>
      <w:r/>
    </w:p>
    <w:p>
      <w:pPr>
        <w:pStyle w:val="867"/>
        <w:jc w:val="both"/>
        <w:spacing w:beforeAutospacing="0" w:afterAutospacing="0"/>
        <w:rPr>
          <w:highlight w:val="none"/>
        </w:rPr>
      </w:pPr>
      <w:r>
        <w:rPr>
          <w:highlight w:val="none"/>
        </w:rPr>
      </w: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t xml:space="preserve"> </w:t>
      </w:r>
      <w:r/>
    </w:p>
    <w:p>
      <w:pPr>
        <w:pStyle w:val="867"/>
        <w:jc w:val="center"/>
        <w:spacing w:beforeAutospacing="0" w:afterAutospacing="0"/>
        <w:rPr>
          <w:highlight w:val="none"/>
        </w:rPr>
      </w:pPr>
      <w:r/>
      <w:bookmarkStart w:id="210"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、商务要求响应及偏离表（分包号：**）</w:t>
      </w:r>
      <w:r/>
    </w:p>
    <w:tbl>
      <w:tblPr>
        <w:tblStyle w:val="8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bookmarkStart w:id="211" w:name="_Hlt26782999"/>
            <w:r/>
            <w:bookmarkStart w:id="212" w:name="_Hlt26609391"/>
            <w:r/>
            <w:bookmarkStart w:id="213" w:name="_Hlt26955064"/>
            <w:r/>
            <w:bookmarkStart w:id="214" w:name="_Hlt24879081"/>
            <w:r/>
            <w:bookmarkStart w:id="215" w:name="_Hlt26671343"/>
            <w:r/>
            <w:bookmarkStart w:id="216" w:name="_Hlt26671372"/>
            <w:r/>
            <w:bookmarkStart w:id="217" w:name="_Hlt26955056"/>
            <w:r/>
            <w:bookmarkStart w:id="218" w:name="_Hlt26580838"/>
            <w:r>
              <w:rPr>
                <w:rFonts w:hint="eastAsia" w:ascii="宋体" w:hAnsi="宋体" w:eastAsia="宋体" w:cs="宋体"/>
                <w:color w:val="000000"/>
                <w:highlight w:val="none"/>
              </w:rPr>
              <w:t xml:space="preserve">序号</w:t>
            </w:r>
            <w:bookmarkEnd w:id="211"/>
            <w:r/>
            <w:bookmarkEnd w:id="212"/>
            <w:r/>
            <w:bookmarkEnd w:id="213"/>
            <w:r/>
            <w:bookmarkEnd w:id="214"/>
            <w:r/>
            <w:bookmarkEnd w:id="215"/>
            <w:r/>
            <w:bookmarkEnd w:id="216"/>
            <w:r/>
            <w:bookmarkEnd w:id="217"/>
            <w:r/>
            <w:bookmarkEnd w:id="21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highlight w:val="none"/>
              </w:rPr>
            </w:pPr>
            <w:r>
              <w:rPr>
                <w:highlight w:val="none"/>
              </w:rPr>
              <w:t xml:space="preserve"> </w:t>
            </w:r>
            <w:r/>
          </w:p>
        </w:tc>
      </w:tr>
    </w:tbl>
    <w:p>
      <w:pPr>
        <w:pStyle w:val="86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7"/>
        <w:jc w:val="both"/>
        <w:spacing w:beforeAutospacing="0" w:afterAutospacing="0" w:line="480" w:lineRule="auto"/>
        <w:rPr>
          <w:highlight w:val="none"/>
        </w:rPr>
      </w:pPr>
      <w:r>
        <w:rPr>
          <w:highlight w:val="none"/>
        </w:rPr>
        <w:t xml:space="preserve"> </w:t>
      </w:r>
      <w:r/>
    </w:p>
    <w:p>
      <w:pPr>
        <w:pStyle w:val="867"/>
        <w:jc w:val="both"/>
        <w:spacing w:beforeAutospacing="0" w:afterAutospacing="0" w:line="480" w:lineRule="auto"/>
        <w:rPr>
          <w:highlight w:val="none"/>
        </w:rPr>
      </w:pPr>
      <w:r>
        <w:rPr>
          <w:highlight w:val="none"/>
        </w:rPr>
        <w:t xml:space="preserve"> </w:t>
      </w:r>
      <w:r/>
    </w:p>
    <w:p>
      <w:pPr>
        <w:pStyle w:val="867"/>
        <w:jc w:val="center"/>
        <w:spacing w:beforeAutospacing="0" w:afterAutospacing="0"/>
        <w:rPr>
          <w:highlight w:val="none"/>
        </w:rPr>
      </w:pPr>
      <w:r/>
      <w:bookmarkStart w:id="219" w:name="_Toc462564146"/>
      <w:r/>
      <w:bookmarkStart w:id="220" w:name="_Hlt26955066"/>
      <w:r/>
      <w:bookmarkStart w:id="221" w:name="_格式2__法定代表人授权书"/>
      <w:r/>
      <w:bookmarkStart w:id="222" w:name="_Hlt26609389"/>
      <w:r/>
      <w:bookmarkStart w:id="223" w:name="_Hlt26671374"/>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t xml:space="preserve"> </w:t>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rPr>
          <w:highlight w:val="none"/>
        </w:rPr>
      </w:r>
      <w:r/>
    </w:p>
    <w:p>
      <w:pPr>
        <w:pStyle w:val="867"/>
        <w:jc w:val="both"/>
        <w:spacing w:beforeAutospacing="0" w:afterAutospacing="0"/>
        <w:rPr>
          <w:highlight w:val="none"/>
        </w:rPr>
      </w:pPr>
      <w:r>
        <w:rPr>
          <w:highlight w:val="none"/>
        </w:rPr>
      </w: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both"/>
        <w:spacing w:beforeAutospacing="0" w:afterAutospacing="0"/>
        <w:rPr>
          <w:highlight w:val="none"/>
        </w:rPr>
      </w:pPr>
      <w:r>
        <w:rPr>
          <w:highlight w:val="none"/>
        </w:rPr>
      </w:r>
      <w:r/>
    </w:p>
    <w:p>
      <w:pPr>
        <w:pStyle w:val="867"/>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货币单位：人民币元</w:t>
      </w:r>
      <w:r>
        <w:rPr>
          <w:rFonts w:ascii="Microsoft YaHei" w:hAnsi="Microsoft YaHei" w:eastAsia="Microsoft YaHei" w:cs="Microsoft YaHei"/>
          <w:sz w:val="24"/>
        </w:rPr>
      </w:r>
      <w:r>
        <w:rPr>
          <w:rFonts w:ascii="Microsoft YaHei" w:hAnsi="Microsoft YaHei" w:eastAsia="Microsoft YaHei" w:cs="Microsoft YaHei"/>
          <w:color w:val="000000"/>
          <w:sz w:val="24"/>
        </w:rPr>
        <w:t xml:space="preserve"> </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2"/>
        <w:gridCol w:w="2784"/>
        <w:gridCol w:w="351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rPr>
                <w:rFonts w:ascii="Microsoft YaHei" w:hAnsi="Microsoft YaHei" w:eastAsia="Microsoft YaHei" w:cs="Microsoft YaHei"/>
                <w:color w:val="000000"/>
                <w:sz w:val="24"/>
              </w:rPr>
              <w:t xml:space="preserve">项目名称 </w:t>
            </w:r>
            <w:r>
              <w:rPr>
                <w:rFonts w:ascii="Microsoft YaHei" w:hAnsi="Microsoft YaHei" w:eastAsia="Microsoft YaHei" w:cs="Microsoft YaHei"/>
                <w:color w:val="000000"/>
                <w:sz w:val="24"/>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29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金额大写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投标人公章：                               （电子签章）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日期： 年 月 日</w:t>
      </w:r>
      <w:r/>
    </w:p>
    <w:p>
      <w:pPr>
        <w:ind w:left="0" w:right="0" w:firstLine="0"/>
        <w:spacing w:before="240" w:after="24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r>
      <w:r>
        <w:rPr>
          <w:rFonts w:ascii="Microsoft YaHei" w:hAnsi="Microsoft YaHei" w:eastAsia="Microsoft YaHei" w:cs="Microsoft YaHei"/>
          <w:sz w:val="24"/>
        </w:rPr>
      </w:r>
      <w:r/>
    </w:p>
    <w:p>
      <w:pPr>
        <w:pStyle w:val="867"/>
        <w:ind w:firstLine="480"/>
        <w:jc w:val="both"/>
        <w:spacing w:beforeAutospacing="0" w:afterAutospacing="0"/>
        <w:rPr>
          <w:highlight w:val="none"/>
        </w:rPr>
      </w:pPr>
      <w:r>
        <w:rPr>
          <w:highlight w:val="none"/>
        </w:rPr>
        <w:t xml:space="preserve"> </w:t>
      </w:r>
      <w:r/>
    </w:p>
    <w:p>
      <w:pPr>
        <w:pStyle w:val="8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、技术方案、服务承诺、培训承诺等</w:t>
      </w:r>
      <w:r/>
    </w:p>
    <w:p>
      <w:pPr>
        <w:pStyle w:val="867"/>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67"/>
        <w:jc w:val="center"/>
        <w:spacing w:beforeAutospacing="0" w:afterAutospacing="0"/>
        <w:rPr>
          <w:highlight w:val="none"/>
        </w:rPr>
      </w:pPr>
      <w:r>
        <w:rPr>
          <w:highlight w:val="none"/>
        </w:rPr>
      </w:r>
      <w:r>
        <w:rPr>
          <w:highlight w:val="none"/>
        </w:rPr>
      </w:r>
      <w:r/>
    </w:p>
    <w:p>
      <w:pPr>
        <w:pStyle w:val="867"/>
        <w:jc w:val="center"/>
        <w:spacing w:beforeAutospacing="0" w:afterAutospacing="0"/>
        <w:rPr>
          <w:highlight w:val="none"/>
        </w:rPr>
      </w:pPr>
      <w:r>
        <w:rPr>
          <w:highlight w:val="none"/>
        </w:rPr>
      </w:r>
      <w:bookmarkEnd w:id="33"/>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2"/>
      <w:r/>
      <w:bookmarkEnd w:id="204"/>
      <w:r/>
      <w:bookmarkEnd w:id="205"/>
      <w:r/>
      <w:bookmarkEnd w:id="207"/>
      <w:r/>
      <w:bookmarkEnd w:id="208"/>
      <w:r/>
      <w:bookmarkEnd w:id="209"/>
      <w:r/>
      <w:bookmarkEnd w:id="210"/>
      <w:r/>
      <w:bookmarkEnd w:id="219"/>
      <w:r/>
      <w:bookmarkEnd w:id="220"/>
      <w:r/>
      <w:bookmarkEnd w:id="221"/>
      <w:r/>
      <w:bookmarkEnd w:id="222"/>
      <w:r/>
      <w:bookmarkEnd w:id="223"/>
      <w:r/>
      <w:r/>
    </w:p>
    <w:p>
      <w:pPr>
        <w:rPr>
          <w:highlight w:val="none"/>
        </w:rPr>
      </w:pPr>
      <w:r>
        <w:rPr>
          <w:highlight w:val="none"/>
        </w:rPr>
      </w:r>
      <w:r/>
    </w:p>
    <w:p>
      <w:pPr>
        <w:pStyle w:val="867"/>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7"/>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7"/>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7"/>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7"/>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7"/>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10"/>
      <w:footnotePr/>
      <w:endnotePr/>
      <w:type w:val="nextPage"/>
      <w:pgSz w:w="11906" w:h="16838" w:orient="portrait"/>
      <w:pgMar w:top="1440" w:right="1803" w:bottom="1440" w:left="180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57"/>
    <w:next w:val="857"/>
    <w:link w:val="684"/>
    <w:uiPriority w:val="9"/>
    <w:qFormat/>
    <w:pPr>
      <w:keepLines/>
      <w:keepNext/>
      <w:spacing w:before="480" w:after="200"/>
      <w:outlineLvl w:val="0"/>
    </w:pPr>
    <w:rPr>
      <w:rFonts w:ascii="Arial" w:hAnsi="Arial" w:eastAsia="Arial" w:cs="Arial"/>
      <w:sz w:val="40"/>
      <w:szCs w:val="40"/>
    </w:rPr>
  </w:style>
  <w:style w:type="character" w:styleId="684">
    <w:name w:val="Heading 1 Char"/>
    <w:basedOn w:val="859"/>
    <w:link w:val="683"/>
    <w:uiPriority w:val="9"/>
    <w:rPr>
      <w:rFonts w:ascii="Arial" w:hAnsi="Arial" w:eastAsia="Arial" w:cs="Arial"/>
      <w:sz w:val="40"/>
      <w:szCs w:val="40"/>
    </w:rPr>
  </w:style>
  <w:style w:type="character" w:styleId="685">
    <w:name w:val="Heading 2 Char"/>
    <w:basedOn w:val="859"/>
    <w:link w:val="858"/>
    <w:uiPriority w:val="9"/>
    <w:rPr>
      <w:rFonts w:ascii="Arial" w:hAnsi="Arial" w:eastAsia="Arial" w:cs="Arial"/>
      <w:sz w:val="34"/>
    </w:rPr>
  </w:style>
  <w:style w:type="paragraph" w:styleId="686">
    <w:name w:val="Heading 3"/>
    <w:basedOn w:val="857"/>
    <w:next w:val="857"/>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basedOn w:val="859"/>
    <w:link w:val="686"/>
    <w:uiPriority w:val="9"/>
    <w:rPr>
      <w:rFonts w:ascii="Arial" w:hAnsi="Arial" w:eastAsia="Arial" w:cs="Arial"/>
      <w:sz w:val="30"/>
      <w:szCs w:val="30"/>
    </w:rPr>
  </w:style>
  <w:style w:type="paragraph" w:styleId="688">
    <w:name w:val="Heading 4"/>
    <w:basedOn w:val="857"/>
    <w:next w:val="857"/>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59"/>
    <w:link w:val="688"/>
    <w:uiPriority w:val="9"/>
    <w:rPr>
      <w:rFonts w:ascii="Arial" w:hAnsi="Arial" w:eastAsia="Arial" w:cs="Arial"/>
      <w:b/>
      <w:bCs/>
      <w:sz w:val="26"/>
      <w:szCs w:val="26"/>
    </w:rPr>
  </w:style>
  <w:style w:type="paragraph" w:styleId="690">
    <w:name w:val="Heading 5"/>
    <w:basedOn w:val="857"/>
    <w:next w:val="857"/>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59"/>
    <w:link w:val="690"/>
    <w:uiPriority w:val="9"/>
    <w:rPr>
      <w:rFonts w:ascii="Arial" w:hAnsi="Arial" w:eastAsia="Arial" w:cs="Arial"/>
      <w:b/>
      <w:bCs/>
      <w:sz w:val="24"/>
      <w:szCs w:val="24"/>
    </w:rPr>
  </w:style>
  <w:style w:type="paragraph" w:styleId="692">
    <w:name w:val="Heading 6"/>
    <w:basedOn w:val="857"/>
    <w:next w:val="857"/>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59"/>
    <w:link w:val="692"/>
    <w:uiPriority w:val="9"/>
    <w:rPr>
      <w:rFonts w:ascii="Arial" w:hAnsi="Arial" w:eastAsia="Arial" w:cs="Arial"/>
      <w:b/>
      <w:bCs/>
      <w:sz w:val="22"/>
      <w:szCs w:val="22"/>
    </w:rPr>
  </w:style>
  <w:style w:type="paragraph" w:styleId="694">
    <w:name w:val="Heading 7"/>
    <w:basedOn w:val="857"/>
    <w:next w:val="85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59"/>
    <w:link w:val="694"/>
    <w:uiPriority w:val="9"/>
    <w:rPr>
      <w:rFonts w:ascii="Arial" w:hAnsi="Arial" w:eastAsia="Arial" w:cs="Arial"/>
      <w:b/>
      <w:bCs/>
      <w:i/>
      <w:iCs/>
      <w:sz w:val="22"/>
      <w:szCs w:val="22"/>
    </w:rPr>
  </w:style>
  <w:style w:type="paragraph" w:styleId="696">
    <w:name w:val="Heading 8"/>
    <w:basedOn w:val="857"/>
    <w:next w:val="857"/>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59"/>
    <w:link w:val="696"/>
    <w:uiPriority w:val="9"/>
    <w:rPr>
      <w:rFonts w:ascii="Arial" w:hAnsi="Arial" w:eastAsia="Arial" w:cs="Arial"/>
      <w:i/>
      <w:iCs/>
      <w:sz w:val="22"/>
      <w:szCs w:val="22"/>
    </w:rPr>
  </w:style>
  <w:style w:type="paragraph" w:styleId="698">
    <w:name w:val="Heading 9"/>
    <w:basedOn w:val="857"/>
    <w:next w:val="857"/>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59"/>
    <w:link w:val="698"/>
    <w:uiPriority w:val="9"/>
    <w:rPr>
      <w:rFonts w:ascii="Arial" w:hAnsi="Arial" w:eastAsia="Arial" w:cs="Arial"/>
      <w:i/>
      <w:iCs/>
      <w:sz w:val="21"/>
      <w:szCs w:val="21"/>
    </w:rPr>
  </w:style>
  <w:style w:type="paragraph" w:styleId="700">
    <w:name w:val="List Paragraph"/>
    <w:basedOn w:val="857"/>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59"/>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59"/>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9"/>
    <w:link w:val="866"/>
    <w:uiPriority w:val="99"/>
  </w:style>
  <w:style w:type="character" w:styleId="711">
    <w:name w:val="Footer Char"/>
    <w:basedOn w:val="859"/>
    <w:link w:val="865"/>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865"/>
    <w:uiPriority w:val="99"/>
  </w:style>
  <w:style w:type="table" w:styleId="714">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9"/>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9"/>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8">
    <w:name w:val="Heading 2"/>
    <w:basedOn w:val="857"/>
    <w:next w:val="85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customStyle="1">
    <w:name w:val="首行缩进"/>
    <w:basedOn w:val="857"/>
    <w:uiPriority w:val="2"/>
    <w:qFormat/>
    <w:pPr>
      <w:ind w:firstLine="480"/>
      <w:jc w:val="left"/>
      <w:spacing w:line="360" w:lineRule="auto"/>
      <w:widowControl/>
    </w:pPr>
    <w:rPr>
      <w:rFonts w:ascii="宋体" w:hAnsi="宋体" w:eastAsia="宋体" w:cs="Arial"/>
      <w:color w:val="000000"/>
      <w:sz w:val="24"/>
      <w:szCs w:val="21"/>
    </w:rPr>
  </w:style>
  <w:style w:type="paragraph" w:styleId="862">
    <w:name w:val="annotation text"/>
    <w:basedOn w:val="857"/>
    <w:uiPriority w:val="0"/>
    <w:qFormat/>
    <w:pPr>
      <w:jc w:val="left"/>
    </w:pPr>
  </w:style>
  <w:style w:type="paragraph" w:styleId="863">
    <w:name w:val="Body Text"/>
    <w:basedOn w:val="857"/>
    <w:uiPriority w:val="0"/>
    <w:semiHidden/>
    <w:qFormat/>
    <w:rPr>
      <w:rFonts w:ascii="仿宋" w:hAnsi="仿宋" w:eastAsia="仿宋" w:cs="仿宋"/>
      <w:sz w:val="31"/>
      <w:szCs w:val="31"/>
      <w:lang w:val="en-US" w:eastAsia="en-US" w:bidi="ar-SA"/>
    </w:rPr>
  </w:style>
  <w:style w:type="paragraph" w:styleId="864">
    <w:name w:val="Body Text Indent"/>
    <w:basedOn w:val="857"/>
    <w:uiPriority w:val="99"/>
    <w:qFormat/>
    <w:pPr>
      <w:ind w:left="-105" w:firstLine="232"/>
    </w:pPr>
    <w:rPr>
      <w:rFonts w:eastAsia="仿宋_GB2312"/>
      <w:sz w:val="32"/>
      <w:szCs w:val="32"/>
    </w:rPr>
  </w:style>
  <w:style w:type="paragraph" w:styleId="865">
    <w:name w:val="Footer"/>
    <w:basedOn w:val="857"/>
    <w:link w:val="874"/>
    <w:uiPriority w:val="0"/>
    <w:qFormat/>
    <w:pPr>
      <w:jc w:val="left"/>
      <w:tabs>
        <w:tab w:val="center" w:pos="4153" w:leader="none"/>
        <w:tab w:val="right" w:pos="8306" w:leader="none"/>
      </w:tabs>
    </w:pPr>
    <w:rPr>
      <w:sz w:val="18"/>
      <w:szCs w:val="18"/>
    </w:rPr>
  </w:style>
  <w:style w:type="paragraph" w:styleId="866">
    <w:name w:val="Header"/>
    <w:basedOn w:val="857"/>
    <w:link w:val="873"/>
    <w:uiPriority w:val="0"/>
    <w:qFormat/>
    <w:pPr>
      <w:jc w:val="center"/>
      <w:tabs>
        <w:tab w:val="center" w:pos="4153" w:leader="none"/>
        <w:tab w:val="right" w:pos="8306" w:leader="none"/>
      </w:tabs>
      <w:pBdr>
        <w:bottom w:val="single" w:color="auto" w:sz="6" w:space="1"/>
      </w:pBdr>
    </w:pPr>
    <w:rPr>
      <w:sz w:val="18"/>
      <w:szCs w:val="18"/>
    </w:rPr>
  </w:style>
  <w:style w:type="paragraph" w:styleId="867">
    <w:name w:val="Normal (Web)"/>
    <w:basedOn w:val="857"/>
    <w:uiPriority w:val="0"/>
    <w:qFormat/>
    <w:pPr>
      <w:jc w:val="left"/>
      <w:spacing w:beforeAutospacing="1" w:afterAutospacing="1"/>
    </w:pPr>
    <w:rPr>
      <w:rFonts w:cs="Times New Roman"/>
      <w:sz w:val="24"/>
    </w:rPr>
  </w:style>
  <w:style w:type="paragraph" w:styleId="868">
    <w:name w:val="Body Text First Indent"/>
    <w:basedOn w:val="863"/>
    <w:uiPriority w:val="0"/>
    <w:qFormat/>
    <w:pPr>
      <w:ind w:firstLine="420"/>
    </w:pPr>
  </w:style>
  <w:style w:type="paragraph" w:styleId="869">
    <w:name w:val="Body Text First Indent 2"/>
    <w:basedOn w:val="864"/>
    <w:uiPriority w:val="0"/>
    <w:qFormat/>
    <w:pPr>
      <w:ind w:left="420" w:firstLine="420"/>
      <w:spacing w:after="120"/>
    </w:pPr>
    <w:rPr>
      <w:sz w:val="21"/>
      <w:szCs w:val="24"/>
    </w:rPr>
  </w:style>
  <w:style w:type="table" w:styleId="870">
    <w:name w:val="Table Grid"/>
    <w:basedOn w:val="86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71" w:customStyle="1">
    <w:name w:val="Default"/>
    <w:basedOn w:val="857"/>
    <w:next w:val="872"/>
    <w:uiPriority w:val="0"/>
    <w:semiHidden/>
    <w:qFormat/>
    <w:pPr>
      <w:jc w:val="left"/>
    </w:pPr>
    <w:rPr>
      <w:rFonts w:ascii="宋体" w:hAnsi="Calibri" w:cs="宋体"/>
      <w:color w:val="000000"/>
      <w:sz w:val="24"/>
    </w:rPr>
  </w:style>
  <w:style w:type="paragraph" w:styleId="872" w:customStyle="1">
    <w:name w:val="TOC 71"/>
    <w:next w:val="857"/>
    <w:uiPriority w:val="0"/>
    <w:qFormat/>
    <w:pPr>
      <w:ind w:left="2550"/>
      <w:jc w:val="both"/>
    </w:pPr>
    <w:rPr>
      <w:rFonts w:ascii="Times New Roman" w:hAnsi="Times New Roman" w:eastAsia="宋体" w:cs="Times New Roman"/>
      <w:sz w:val="21"/>
      <w:szCs w:val="22"/>
      <w:lang w:val="en-US" w:eastAsia="zh-CN" w:bidi="ar-SA"/>
    </w:rPr>
  </w:style>
  <w:style w:type="character" w:styleId="873" w:customStyle="1">
    <w:name w:val="页眉 Char"/>
    <w:basedOn w:val="859"/>
    <w:link w:val="866"/>
    <w:uiPriority w:val="0"/>
    <w:qFormat/>
    <w:rPr>
      <w:rFonts w:asciiTheme="minorHAnsi" w:hAnsiTheme="minorHAnsi" w:eastAsiaTheme="minorEastAsia" w:cstheme="minorBidi"/>
      <w:sz w:val="18"/>
      <w:szCs w:val="18"/>
    </w:rPr>
  </w:style>
  <w:style w:type="character" w:styleId="874" w:customStyle="1">
    <w:name w:val="页脚 Char"/>
    <w:basedOn w:val="859"/>
    <w:link w:val="865"/>
    <w:uiPriority w:val="0"/>
    <w:qFormat/>
    <w:rPr>
      <w:rFonts w:asciiTheme="minorHAnsi" w:hAnsiTheme="minorHAnsi" w:eastAsiaTheme="minorEastAsia" w:cstheme="minorBidi"/>
      <w:sz w:val="18"/>
      <w:szCs w:val="18"/>
    </w:rPr>
  </w:style>
  <w:style w:type="paragraph" w:styleId="875" w:customStyle="1">
    <w:name w:val="普通正文"/>
    <w:basedOn w:val="857"/>
    <w:uiPriority w:val="0"/>
    <w:qFormat/>
    <w:pPr>
      <w:ind w:firstLine="480"/>
      <w:jc w:val="left"/>
      <w:spacing w:before="120" w:after="120" w:line="360" w:lineRule="auto"/>
    </w:pPr>
    <w:rPr>
      <w:rFonts w:ascii="Arial" w:hAnsi="Arial" w:eastAsia="等线" w:cs="Arial"/>
      <w:sz w:val="24"/>
      <w:szCs w:val="24"/>
    </w:rPr>
  </w:style>
  <w:style w:type="paragraph" w:styleId="876" w:customStyle="1">
    <w:name w:val="正文首行缩进 21"/>
    <w:basedOn w:val="877"/>
    <w:uiPriority w:val="0"/>
    <w:qFormat/>
    <w:pPr>
      <w:ind w:firstLine="420"/>
    </w:pPr>
  </w:style>
  <w:style w:type="paragraph" w:styleId="877" w:customStyle="1">
    <w:name w:val="正文文本缩进1"/>
    <w:basedOn w:val="857"/>
    <w:uiPriority w:val="0"/>
    <w:qFormat/>
    <w:pPr>
      <w:ind w:left="420"/>
      <w:spacing w:after="120"/>
    </w:pPr>
  </w:style>
  <w:style w:type="character" w:styleId="878" w:customStyle="1">
    <w:name w:val="font21"/>
    <w:basedOn w:val="859"/>
    <w:uiPriority w:val="0"/>
    <w:qFormat/>
    <w:rPr>
      <w:rFonts w:hint="eastAsia" w:ascii="方正仿宋_GB2312" w:hAnsi="方正仿宋_GB2312" w:eastAsia="方正仿宋_GB2312" w:cs="方正仿宋_GB2312"/>
      <w:color w:val="000000"/>
      <w:sz w:val="21"/>
      <w:szCs w:val="21"/>
      <w:u w:val="none"/>
    </w:rPr>
  </w:style>
  <w:style w:type="paragraph" w:styleId="879" w:customStyle="1">
    <w:name w:val="正文2"/>
    <w:basedOn w:val="857"/>
    <w:next w:val="869"/>
    <w:uiPriority w:val="0"/>
    <w:qFormat/>
    <w:pPr>
      <w:ind w:firstLine="420"/>
      <w:spacing w:line="360" w:lineRule="auto"/>
    </w:p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275</cp:revision>
  <dcterms:created xsi:type="dcterms:W3CDTF">2014-10-29T12:08:00Z</dcterms:created>
  <dcterms:modified xsi:type="dcterms:W3CDTF">2025-12-22T09:01:28Z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0CC984DA37774A71AE75C11785929CE9_13</vt:lpwstr>
  </property>
  <property fmtid="{D5CDD505-2E9C-101B-9397-08002B2CF9AE}" pid="4" name="KSOTemplateDocerSaveRecord">
    <vt:lpwstr>eyJoZGlkIjoiZTM5NjQ4MDViNzI1OGY2YzE4MzhiZmY5ZTY1YTkxNGYiLCJ1c2VySWQiOiIxNjcxMTcxMDA3In0=</vt:lpwstr>
  </property>
</Properties>
</file>